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charts/chart1.xml" ContentType="application/vnd.openxmlformats-officedocument.drawingml.chart+xml"/>
  <Override PartName="/word/media/image13.png" ContentType="image/png"/>
  <Override PartName="/word/media/image4.png" ContentType="image/png"/>
  <Override PartName="/word/media/image9.wmf" ContentType="image/x-wmf"/>
  <Override PartName="/word/media/image14.png" ContentType="image/png"/>
  <Override PartName="/word/media/image5.wmf" ContentType="image/x-wmf"/>
  <Override PartName="/word/media/image6.png" ContentType="image/png"/>
  <Override PartName="/word/media/image15.png" ContentType="image/png"/>
  <Override PartName="/word/media/image10.png" ContentType="image/png"/>
  <Override PartName="/word/media/image1.png" ContentType="image/png"/>
  <Override PartName="/word/media/image16.png" ContentType="image/png"/>
  <Override PartName="/word/media/image7.png" ContentType="image/png"/>
  <Override PartName="/word/media/image11.png" ContentType="image/png"/>
  <Override PartName="/word/media/image2.png" ContentType="image/png"/>
  <Override PartName="/word/media/image17.png" ContentType="image/png"/>
  <Override PartName="/word/media/image8.png" ContentType="image/png"/>
  <Override PartName="/word/media/image12.png" ContentType="image/png"/>
  <Override PartName="/word/media/image3.png" ContentType="image/png"/>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right="425"/>
        <w:jc w:val="left"/>
        <w:rPr>
          <w:sz w:val="28"/>
          <w:szCs w:val="28"/>
        </w:rPr>
      </w:pPr>
      <w:r>
        <w:rPr>
          <w:rFonts w:cs="Arial" w:ascii="Arial" w:hAnsi="Arial"/>
          <w:b/>
          <w:color w:themeColor="text1" w:val="000000"/>
          <w:sz w:val="28"/>
          <w:szCs w:val="28"/>
        </w:rPr>
        <w:t>Sērijveida dzīvokļi, 2026. gada 1. septembris</w:t>
      </w:r>
    </w:p>
    <w:p>
      <w:pPr>
        <w:pStyle w:val="Normal"/>
        <w:ind w:right="425"/>
        <w:jc w:val="center"/>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center"/>
        <w:rPr>
          <w:rFonts w:ascii="Arial" w:hAnsi="Arial" w:cs="Arial"/>
          <w:b/>
          <w:sz w:val="20"/>
          <w:szCs w:val="20"/>
        </w:rPr>
      </w:pPr>
      <w:r>
        <w:rPr>
          <w:rFonts w:cs="Arial" w:ascii="Arial" w:hAnsi="Arial"/>
          <w:b/>
          <w:sz w:val="20"/>
          <w:szCs w:val="20"/>
        </w:rPr>
      </w:r>
    </w:p>
    <w:p>
      <w:pPr>
        <w:pStyle w:val="Normal"/>
        <w:ind w:right="425"/>
        <w:jc w:val="both"/>
        <w:rPr>
          <w:rFonts w:ascii="Arial" w:hAnsi="Arial" w:cs="Arial"/>
          <w:b/>
          <w:sz w:val="20"/>
          <w:szCs w:val="20"/>
        </w:rPr>
      </w:pPr>
      <w:bookmarkStart w:id="0" w:name="_Hlk144912683"/>
      <w:r>
        <w:rPr>
          <w:rFonts w:cs="Arial" w:ascii="Arial" w:hAnsi="Arial"/>
          <w:b/>
          <w:sz w:val="20"/>
          <w:szCs w:val="20"/>
        </w:rPr>
        <w:t>2026. gada augustā Rīgas mikrorajonos sērijveida dzīvokļu cenās bija vērojam</w:t>
      </w:r>
      <w:r>
        <w:rPr>
          <w:rFonts w:cs="Arial" w:ascii="Arial" w:hAnsi="Arial"/>
          <w:b/>
          <w:sz w:val="20"/>
          <w:szCs w:val="20"/>
        </w:rPr>
        <w:t>as</w:t>
      </w:r>
      <w:r>
        <w:rPr>
          <w:rFonts w:cs="Arial" w:ascii="Arial" w:hAnsi="Arial"/>
          <w:b/>
          <w:sz w:val="20"/>
          <w:szCs w:val="20"/>
        </w:rPr>
        <w:t xml:space="preserve"> cenu izmaiņas – mēneša laikā sērijveida dzīvokļu vidējā cena palielinājās par 0,9 %. Sērijveida dzīvokļu vidējā cena augustā pieaug</w:t>
      </w:r>
      <w:r>
        <w:rPr>
          <w:rFonts w:cs="Arial" w:ascii="Arial" w:hAnsi="Arial"/>
          <w:b/>
          <w:sz w:val="20"/>
          <w:szCs w:val="20"/>
        </w:rPr>
        <w:t>a</w:t>
      </w:r>
      <w:r>
        <w:rPr>
          <w:rFonts w:cs="Arial" w:ascii="Arial" w:hAnsi="Arial"/>
          <w:b/>
          <w:sz w:val="20"/>
          <w:szCs w:val="20"/>
        </w:rPr>
        <w:t xml:space="preserve"> līdz 972 EUR/m².</w:t>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sz w:val="20"/>
          <w:szCs w:val="20"/>
        </w:rPr>
      </w:pPr>
      <w:r>
        <w:rPr>
          <w:rFonts w:cs="Arial" w:ascii="Arial" w:hAnsi="Arial"/>
          <w:b/>
          <w:sz w:val="20"/>
          <w:szCs w:val="20"/>
        </w:rPr>
        <w:t>Sērijveida dzīvokļu cenu izmaiņas kopš 2026. gada sākuma, %</w:t>
      </w:r>
    </w:p>
    <w:p>
      <w:pPr>
        <w:pStyle w:val="Normal"/>
        <w:ind w:right="425"/>
        <w:jc w:val="both"/>
        <w:rPr>
          <w:rFonts w:ascii="Arial" w:hAnsi="Arial" w:cs="Arial"/>
          <w:b/>
          <w:sz w:val="20"/>
          <w:szCs w:val="20"/>
        </w:rPr>
      </w:pPr>
      <w:r>
        <w:rPr/>
      </w:r>
    </w:p>
    <w:p>
      <w:pPr>
        <w:pStyle w:val="Normal"/>
        <w:ind w:right="425"/>
        <w:jc w:val="both"/>
        <w:rPr>
          <w:rFonts w:ascii="Arial" w:hAnsi="Arial" w:cs="Arial"/>
          <w:b/>
          <w:sz w:val="20"/>
          <w:szCs w:val="20"/>
        </w:rPr>
      </w:pPr>
      <w:r>
        <w:rPr/>
        <w:drawing>
          <wp:inline distT="0" distB="0" distL="0" distR="0">
            <wp:extent cx="6231255" cy="1484630"/>
            <wp:effectExtent l="0" t="0" r="0" b="0"/>
            <wp:docPr id="1"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descr=""/>
                    <pic:cNvPicPr>
                      <a:picLocks noChangeAspect="1" noChangeArrowheads="1"/>
                    </pic:cNvPicPr>
                  </pic:nvPicPr>
                  <pic:blipFill>
                    <a:blip r:embed="rId2"/>
                    <a:stretch>
                      <a:fillRect/>
                    </a:stretch>
                  </pic:blipFill>
                  <pic:spPr bwMode="auto">
                    <a:xfrm>
                      <a:off x="0" y="0"/>
                      <a:ext cx="6231255" cy="1484630"/>
                    </a:xfrm>
                    <a:prstGeom prst="rect">
                      <a:avLst/>
                    </a:prstGeom>
                    <a:noFill/>
                  </pic:spPr>
                </pic:pic>
              </a:graphicData>
            </a:graphic>
          </wp:inline>
        </w:drawing>
      </w:r>
    </w:p>
    <w:p>
      <w:pPr>
        <w:pStyle w:val="Normal"/>
        <w:ind w:right="425"/>
        <w:jc w:val="both"/>
        <w:rPr>
          <w:rFonts w:ascii="Arial" w:hAnsi="Arial" w:cs="Arial"/>
          <w:iCs/>
          <w:sz w:val="16"/>
          <w:szCs w:val="16"/>
        </w:rPr>
      </w:pPr>
      <w:r>
        <w:rPr>
          <w:rFonts w:cs="Arial" w:ascii="Arial" w:hAnsi="Arial"/>
          <w:iCs/>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sz w:val="20"/>
          <w:szCs w:val="20"/>
        </w:rPr>
      </w:pPr>
      <w:r>
        <w:rPr>
          <w:rFonts w:cs="Arial" w:ascii="Arial" w:hAnsi="Arial"/>
          <w:sz w:val="20"/>
          <w:szCs w:val="20"/>
        </w:rPr>
        <w:t xml:space="preserve">Augustā konstatētais vidējās cenas pieaugums </w:t>
      </w:r>
      <w:r>
        <w:rPr>
          <w:rFonts w:cs="Arial" w:ascii="Arial" w:hAnsi="Arial"/>
          <w:sz w:val="20"/>
          <w:szCs w:val="20"/>
        </w:rPr>
        <w:t>bija</w:t>
      </w:r>
      <w:r>
        <w:rPr>
          <w:rFonts w:cs="Arial" w:ascii="Arial" w:hAnsi="Arial"/>
          <w:sz w:val="20"/>
          <w:szCs w:val="20"/>
        </w:rPr>
        <w:t xml:space="preserve"> vislielākais, ja salīdzina ar citiem vasaras mēnešiem. Kopumā dzīvokļu cenas kopš 2026. gada sākuma vidēji pieaug</w:t>
      </w:r>
      <w:r>
        <w:rPr>
          <w:rFonts w:cs="Arial" w:ascii="Arial" w:hAnsi="Arial"/>
          <w:sz w:val="20"/>
          <w:szCs w:val="20"/>
        </w:rPr>
        <w:t>a</w:t>
      </w:r>
      <w:r>
        <w:rPr>
          <w:rFonts w:cs="Arial" w:ascii="Arial" w:hAnsi="Arial"/>
          <w:sz w:val="20"/>
          <w:szCs w:val="20"/>
        </w:rPr>
        <w:t xml:space="preserve"> par vairāk nekā 9 %. </w:t>
      </w:r>
      <w:r>
        <w:rPr>
          <w:rFonts w:cs="Arial" w:ascii="Arial" w:hAnsi="Arial"/>
          <w:sz w:val="20"/>
          <w:szCs w:val="20"/>
        </w:rPr>
        <w:t>Šogad d</w:t>
      </w:r>
      <w:r>
        <w:rPr>
          <w:rFonts w:cs="Arial" w:ascii="Arial" w:hAnsi="Arial"/>
          <w:sz w:val="20"/>
          <w:szCs w:val="20"/>
        </w:rPr>
        <w:t>zīvokļu cenas pieaug</w:t>
      </w:r>
      <w:r>
        <w:rPr>
          <w:rFonts w:cs="Arial" w:ascii="Arial" w:hAnsi="Arial"/>
          <w:sz w:val="20"/>
          <w:szCs w:val="20"/>
        </w:rPr>
        <w:t>a</w:t>
      </w:r>
      <w:r>
        <w:rPr>
          <w:rFonts w:cs="Arial" w:ascii="Arial" w:hAnsi="Arial"/>
          <w:sz w:val="20"/>
          <w:szCs w:val="20"/>
        </w:rPr>
        <w:t xml:space="preserve"> ik mēnesi un pieauguma tendence turpinās.</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bookmarkStart w:id="1" w:name="_Hlk62388575"/>
      <w:bookmarkStart w:id="2" w:name="_Hlk62388575"/>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 xml:space="preserve">Dzīvokļu piedāvājumu skaits augustā nedaudz </w:t>
      </w:r>
      <w:r>
        <w:rPr>
          <w:rFonts w:cs="Arial" w:ascii="Arial" w:hAnsi="Arial"/>
          <w:color w:themeColor="text1" w:val="000000"/>
          <w:sz w:val="20"/>
          <w:szCs w:val="20"/>
        </w:rPr>
        <w:t>samazinājās</w:t>
      </w:r>
      <w:r>
        <w:rPr>
          <w:rFonts w:cs="Arial" w:ascii="Arial" w:hAnsi="Arial"/>
          <w:color w:themeColor="text1" w:val="000000"/>
          <w:sz w:val="20"/>
          <w:szCs w:val="20"/>
        </w:rPr>
        <w:t>. Līdzīgs dzīvokļu piedāvājuma samazinājums tika konstatēts arī iepriekšējā gada augustā. 2026. gada augustā Rīgas lielākajos mikrorajonos bija nedaudz virs 1 100 dzīvokļu piedāvājumu.</w:t>
      </w:r>
      <w:bookmarkEnd w:id="2"/>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Rīgas lielāko mikrorajonu dzīvokļu piedāvājuma dinamika</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rFonts w:ascii="Arial" w:hAnsi="Arial" w:cs="Arial"/>
          <w:b/>
          <w:color w:themeColor="text1" w:val="000000"/>
          <w:sz w:val="20"/>
          <w:szCs w:val="20"/>
        </w:rPr>
      </w:pPr>
      <w:r>
        <w:rPr/>
        <w:drawing>
          <wp:inline distT="0" distB="0" distL="0" distR="0">
            <wp:extent cx="6191250" cy="2786380"/>
            <wp:effectExtent l="0" t="0" r="0" b="0"/>
            <wp:docPr id="2" name="Chart 1"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3"/>
              </a:graphicData>
            </a:graphic>
          </wp:inline>
        </w:drawing>
      </w:r>
    </w:p>
    <w:p>
      <w:pPr>
        <w:pStyle w:val="Normal"/>
        <w:ind w:right="425"/>
        <w:jc w:val="both"/>
        <w:rPr>
          <w:rFonts w:ascii="Arial" w:hAnsi="Arial" w:cs="Arial"/>
          <w:iCs/>
          <w:color w:themeColor="text1" w:val="000000"/>
          <w:sz w:val="16"/>
          <w:szCs w:val="16"/>
        </w:rPr>
      </w:pPr>
      <w:r>
        <w:rPr>
          <w:rFonts w:cs="Arial" w:ascii="Arial" w:hAnsi="Arial"/>
          <w:iCs/>
          <w:color w:themeColor="text1" w:val="000000"/>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sz w:val="20"/>
          <w:szCs w:val="20"/>
        </w:rPr>
      </w:pPr>
      <w:r>
        <w:rPr>
          <w:rFonts w:cs="Arial" w:ascii="Arial" w:hAnsi="Arial"/>
          <w:sz w:val="20"/>
          <w:szCs w:val="20"/>
        </w:rPr>
        <w:t xml:space="preserve">Rīgas lielākajos mikrorajonos kopš 2026. gada sākuma dzīvokļu cenas palielinājās par 6-13 %. Lielākās dzīvokļu cenu izmaiņas </w:t>
      </w:r>
      <w:r>
        <w:rPr>
          <w:rFonts w:cs="Arial" w:ascii="Arial" w:hAnsi="Arial"/>
          <w:sz w:val="20"/>
          <w:szCs w:val="20"/>
        </w:rPr>
        <w:t xml:space="preserve">tika </w:t>
      </w:r>
      <w:r>
        <w:rPr>
          <w:rFonts w:cs="Arial" w:ascii="Arial" w:hAnsi="Arial"/>
          <w:sz w:val="20"/>
          <w:szCs w:val="20"/>
        </w:rPr>
        <w:t>novēro</w:t>
      </w:r>
      <w:r>
        <w:rPr>
          <w:rFonts w:cs="Arial" w:ascii="Arial" w:hAnsi="Arial"/>
          <w:sz w:val="20"/>
          <w:szCs w:val="20"/>
        </w:rPr>
        <w:t>tas</w:t>
      </w:r>
      <w:r>
        <w:rPr>
          <w:rFonts w:cs="Arial" w:ascii="Arial" w:hAnsi="Arial"/>
          <w:sz w:val="20"/>
          <w:szCs w:val="20"/>
        </w:rPr>
        <w:t xml:space="preserve"> Imantā, kur tās šogad palielinājušās par 13 %. Arī Āgenskalnā un Zolitūdē šogad sērijveida dzīvokļu cenu pieaugums </w:t>
      </w:r>
      <w:r>
        <w:rPr>
          <w:rFonts w:cs="Arial" w:ascii="Arial" w:hAnsi="Arial"/>
          <w:sz w:val="20"/>
          <w:szCs w:val="20"/>
        </w:rPr>
        <w:t>bija</w:t>
      </w:r>
      <w:r>
        <w:rPr>
          <w:rFonts w:cs="Arial" w:ascii="Arial" w:hAnsi="Arial"/>
          <w:sz w:val="20"/>
          <w:szCs w:val="20"/>
        </w:rPr>
        <w:t xml:space="preserve"> salīdzinoši lielāks </w:t>
      </w:r>
      <w:r>
        <w:rPr>
          <w:rFonts w:cs="Arial" w:ascii="Arial" w:hAnsi="Arial"/>
          <w:sz w:val="20"/>
          <w:szCs w:val="20"/>
        </w:rPr>
        <w:t>ne</w:t>
      </w:r>
      <w:r>
        <w:rPr>
          <w:rFonts w:cs="Arial" w:ascii="Arial" w:hAnsi="Arial"/>
          <w:sz w:val="20"/>
          <w:szCs w:val="20"/>
        </w:rPr>
        <w:t>kā citos mikrorajonos – cenas vidēji palielinājās par 11 %. Pārējos Rīgas mikrorajonos cenu izmaiņas šogad nepārsniedz</w:t>
      </w:r>
      <w:r>
        <w:rPr>
          <w:rFonts w:cs="Arial" w:ascii="Arial" w:hAnsi="Arial"/>
          <w:sz w:val="20"/>
          <w:szCs w:val="20"/>
        </w:rPr>
        <w:t>a</w:t>
      </w:r>
      <w:r>
        <w:rPr>
          <w:rFonts w:cs="Arial" w:ascii="Arial" w:hAnsi="Arial"/>
          <w:sz w:val="20"/>
          <w:szCs w:val="20"/>
        </w:rPr>
        <w:t xml:space="preserve"> 10 %. Vismazākās dzīvokļu cenu izmaiņas </w:t>
      </w:r>
      <w:r>
        <w:rPr>
          <w:rFonts w:cs="Arial" w:ascii="Arial" w:hAnsi="Arial"/>
          <w:sz w:val="20"/>
          <w:szCs w:val="20"/>
        </w:rPr>
        <w:t>tika no</w:t>
      </w:r>
      <w:r>
        <w:rPr>
          <w:rFonts w:cs="Arial" w:ascii="Arial" w:hAnsi="Arial"/>
          <w:sz w:val="20"/>
          <w:szCs w:val="20"/>
        </w:rPr>
        <w:t>vēro</w:t>
      </w:r>
      <w:r>
        <w:rPr>
          <w:rFonts w:cs="Arial" w:ascii="Arial" w:hAnsi="Arial"/>
          <w:sz w:val="20"/>
          <w:szCs w:val="20"/>
        </w:rPr>
        <w:t>tas</w:t>
      </w:r>
      <w:r>
        <w:rPr>
          <w:rFonts w:cs="Arial" w:ascii="Arial" w:hAnsi="Arial"/>
          <w:sz w:val="20"/>
          <w:szCs w:val="20"/>
        </w:rPr>
        <w:t xml:space="preserve"> cenu ziņā lētākajā mikrorajonā Bolderājā, kā arī dārgākajā mikrorajonā Teikā. Ab</w:t>
      </w:r>
      <w:r>
        <w:rPr>
          <w:rFonts w:cs="Arial" w:ascii="Arial" w:hAnsi="Arial"/>
          <w:sz w:val="20"/>
          <w:szCs w:val="20"/>
        </w:rPr>
        <w:t xml:space="preserve">ās šajās apkaimēs </w:t>
      </w:r>
      <w:r>
        <w:rPr>
          <w:rFonts w:cs="Arial" w:ascii="Arial" w:hAnsi="Arial"/>
          <w:sz w:val="20"/>
          <w:szCs w:val="20"/>
        </w:rPr>
        <w:t>dzīvokļu cenu pieaugums 2026. gadā bija vidēji 6 %.</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sz w:val="20"/>
          <w:szCs w:val="20"/>
        </w:rPr>
      </w:pPr>
      <w:r>
        <w:rPr>
          <w:rFonts w:cs="Arial" w:ascii="Arial" w:hAnsi="Arial"/>
          <w:b/>
          <w:sz w:val="20"/>
          <w:szCs w:val="20"/>
        </w:rPr>
        <w:t>Dzīvokļu cenu izmaiņas Rīgas lielākajos mikrorajonos kopš 2026. gada 1. janvāra, %</w:t>
      </w:r>
    </w:p>
    <w:p>
      <w:pPr>
        <w:pStyle w:val="Normal"/>
        <w:ind w:right="425"/>
        <w:jc w:val="both"/>
        <w:rPr>
          <w:rFonts w:ascii="Arial" w:hAnsi="Arial" w:cs="Arial"/>
          <w:b/>
          <w:sz w:val="20"/>
          <w:szCs w:val="20"/>
        </w:rPr>
      </w:pPr>
      <w:r>
        <w:rPr>
          <w:rFonts w:cs="Arial" w:ascii="Arial" w:hAnsi="Arial"/>
          <w:b/>
          <w:sz w:val="20"/>
          <w:szCs w:val="20"/>
        </w:rPr>
      </w:r>
    </w:p>
    <w:p>
      <w:pPr>
        <w:pStyle w:val="Normal"/>
        <w:ind w:firstLine="1080" w:left="-1080" w:right="425"/>
        <w:jc w:val="both"/>
        <w:rPr>
          <w:rFonts w:ascii="Arial" w:hAnsi="Arial" w:cs="Arial"/>
          <w:sz w:val="20"/>
          <w:szCs w:val="20"/>
        </w:rPr>
      </w:pPr>
      <w:r>
        <w:rPr/>
        <w:drawing>
          <wp:inline distT="0" distB="0" distL="0" distR="0">
            <wp:extent cx="6163310" cy="2597150"/>
            <wp:effectExtent l="0" t="0" r="0" b="0"/>
            <wp:docPr id="3"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 descr=""/>
                    <pic:cNvPicPr>
                      <a:picLocks noChangeAspect="1" noChangeArrowheads="1"/>
                    </pic:cNvPicPr>
                  </pic:nvPicPr>
                  <pic:blipFill>
                    <a:blip r:embed="rId4"/>
                    <a:stretch>
                      <a:fillRect/>
                    </a:stretch>
                  </pic:blipFill>
                  <pic:spPr bwMode="auto">
                    <a:xfrm>
                      <a:off x="0" y="0"/>
                      <a:ext cx="6163310" cy="2597150"/>
                    </a:xfrm>
                    <a:prstGeom prst="rect">
                      <a:avLst/>
                    </a:prstGeom>
                    <a:noFill/>
                  </pic:spPr>
                </pic:pic>
              </a:graphicData>
            </a:graphic>
          </wp:inline>
        </w:drawing>
      </w:r>
    </w:p>
    <w:p>
      <w:pPr>
        <w:pStyle w:val="Normal"/>
        <w:ind w:right="425"/>
        <w:jc w:val="both"/>
        <w:rPr>
          <w:rFonts w:ascii="Arial" w:hAnsi="Arial" w:cs="Arial"/>
          <w:iCs/>
          <w:sz w:val="16"/>
          <w:szCs w:val="16"/>
        </w:rPr>
      </w:pPr>
      <w:r>
        <w:rPr>
          <w:rFonts w:cs="Arial" w:ascii="Arial" w:hAnsi="Arial"/>
          <w:iCs/>
          <w:sz w:val="16"/>
          <w:szCs w:val="16"/>
        </w:rPr>
      </w:r>
      <w:bookmarkStart w:id="3" w:name="OLE_LINK6"/>
      <w:bookmarkStart w:id="4" w:name="OLE_LINK5"/>
      <w:bookmarkStart w:id="5" w:name="OLE_LINK6"/>
      <w:bookmarkStart w:id="6" w:name="OLE_LINK5"/>
    </w:p>
    <w:p>
      <w:pPr>
        <w:pStyle w:val="Normal"/>
        <w:ind w:right="425"/>
        <w:jc w:val="both"/>
        <w:rPr>
          <w:color w:val="808080"/>
        </w:rPr>
      </w:pPr>
      <w:bookmarkStart w:id="7" w:name="OLE_LINK6"/>
      <w:bookmarkStart w:id="8" w:name="OLE_LINK5"/>
      <w:r>
        <w:rPr>
          <w:rFonts w:cs="Arial" w:ascii="Arial" w:hAnsi="Arial"/>
          <w:iCs/>
          <w:color w:val="808080"/>
          <w:sz w:val="16"/>
          <w:szCs w:val="16"/>
        </w:rPr>
        <w:t>Avots: ARCO REAL ESTATE</w:t>
      </w:r>
      <w:bookmarkEnd w:id="7"/>
      <w:bookmarkEnd w:id="8"/>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sz w:val="20"/>
          <w:szCs w:val="20"/>
        </w:rPr>
      </w:pPr>
      <w:r>
        <w:rPr>
          <w:rFonts w:cs="Arial" w:ascii="Arial" w:hAnsi="Arial"/>
          <w:sz w:val="20"/>
          <w:szCs w:val="20"/>
        </w:rPr>
        <w:t>Augustā sērijveida dzīvokļu vidējā cena palielinājās līdz 972 EUR/m². Cenas bija par vidēji 40 % zemākas nekā 2007. gada 1. augustā, kad neremontēta sērijveida dzīvokļa vidējā cena sasniedza visu laiku augstāko atzīmi – 1 620 EUR/m².</w:t>
      </w:r>
    </w:p>
    <w:p>
      <w:pPr>
        <w:pStyle w:val="Normal"/>
        <w:tabs>
          <w:tab w:val="clear" w:pos="720"/>
          <w:tab w:val="left" w:pos="975" w:leader="none"/>
        </w:tabs>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tabs>
          <w:tab w:val="clear" w:pos="720"/>
          <w:tab w:val="left" w:pos="975" w:leader="none"/>
        </w:tabs>
        <w:ind w:right="425"/>
        <w:jc w:val="both"/>
        <w:rPr>
          <w:rFonts w:ascii="Arial" w:hAnsi="Arial" w:cs="Arial"/>
          <w:b/>
          <w:sz w:val="20"/>
          <w:szCs w:val="20"/>
        </w:rPr>
      </w:pPr>
      <w:r>
        <w:rPr>
          <w:rFonts w:cs="Arial" w:ascii="Arial" w:hAnsi="Arial"/>
          <w:b/>
          <w:sz w:val="20"/>
          <w:szCs w:val="20"/>
        </w:rPr>
        <w:t>Rīgas lielāko mikrorajonu sērijveida dzīvokļu vidējās cenas dinamika, EUR/m²</w:t>
      </w:r>
    </w:p>
    <w:p>
      <w:pPr>
        <w:pStyle w:val="Normal"/>
        <w:tabs>
          <w:tab w:val="clear" w:pos="720"/>
          <w:tab w:val="left" w:pos="975" w:leader="none"/>
        </w:tabs>
        <w:ind w:right="425"/>
        <w:jc w:val="both"/>
        <w:rPr>
          <w:rFonts w:ascii="Arial" w:hAnsi="Arial" w:cs="Arial"/>
          <w:b/>
          <w:sz w:val="20"/>
          <w:szCs w:val="20"/>
        </w:rPr>
      </w:pPr>
      <w:r>
        <w:rPr/>
      </w:r>
    </w:p>
    <w:p>
      <w:pPr>
        <w:pStyle w:val="Normal"/>
        <w:tabs>
          <w:tab w:val="clear" w:pos="720"/>
          <w:tab w:val="left" w:pos="975" w:leader="none"/>
        </w:tabs>
        <w:ind w:right="425"/>
        <w:jc w:val="both"/>
        <w:rPr>
          <w:rFonts w:ascii="Arial" w:hAnsi="Arial" w:cs="Arial"/>
          <w:b/>
          <w:sz w:val="20"/>
          <w:szCs w:val="20"/>
        </w:rPr>
      </w:pPr>
      <w:r>
        <w:rPr/>
        <w:drawing>
          <wp:inline distT="0" distB="0" distL="0" distR="0">
            <wp:extent cx="6280150" cy="2647950"/>
            <wp:effectExtent l="0" t="0" r="0" b="0"/>
            <wp:docPr id="4"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1" descr=""/>
                    <pic:cNvPicPr>
                      <a:picLocks noChangeAspect="1" noChangeArrowheads="1"/>
                    </pic:cNvPicPr>
                  </pic:nvPicPr>
                  <pic:blipFill>
                    <a:blip r:embed="rId5"/>
                    <a:stretch>
                      <a:fillRect/>
                    </a:stretch>
                  </pic:blipFill>
                  <pic:spPr bwMode="auto">
                    <a:xfrm>
                      <a:off x="0" y="0"/>
                      <a:ext cx="6280150" cy="2647950"/>
                    </a:xfrm>
                    <a:prstGeom prst="rect">
                      <a:avLst/>
                    </a:prstGeom>
                    <a:noFill/>
                  </pic:spPr>
                </pic:pic>
              </a:graphicData>
            </a:graphic>
          </wp:inline>
        </w:drawing>
      </w:r>
    </w:p>
    <w:p>
      <w:pPr>
        <w:pStyle w:val="Normal"/>
        <w:ind w:right="425"/>
        <w:jc w:val="both"/>
        <w:rPr>
          <w:rFonts w:ascii="Arial" w:hAnsi="Arial" w:cs="Arial"/>
          <w:iCs/>
          <w:sz w:val="16"/>
          <w:szCs w:val="16"/>
        </w:rPr>
      </w:pPr>
      <w:r>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r>
        <w:br w:type="page"/>
      </w:r>
    </w:p>
    <w:p>
      <w:pPr>
        <w:pStyle w:val="Normal"/>
        <w:spacing w:before="0" w:after="0"/>
        <w:ind w:right="425"/>
        <w:jc w:val="both"/>
        <w:rPr>
          <w:rFonts w:ascii="Arial" w:hAnsi="Arial" w:cs="Arial"/>
          <w:b/>
          <w:sz w:val="20"/>
          <w:szCs w:val="20"/>
        </w:rPr>
      </w:pPr>
      <w:r>
        <w:rPr>
          <w:rFonts w:cs="Arial" w:ascii="Arial" w:hAnsi="Arial"/>
          <w:b/>
          <w:sz w:val="20"/>
          <w:szCs w:val="20"/>
        </w:rPr>
        <w:t>Rīgas mikrorajonu sērijveida dzīvokļu cenu izmaiņas, %</w:t>
      </w:r>
    </w:p>
    <w:p>
      <w:pPr>
        <w:pStyle w:val="Normal"/>
        <w:ind w:right="425"/>
        <w:jc w:val="both"/>
        <w:rPr>
          <w:rFonts w:ascii="Arial" w:hAnsi="Arial" w:cs="Arial"/>
          <w:b/>
          <w:sz w:val="20"/>
          <w:szCs w:val="20"/>
        </w:rPr>
      </w:pPr>
      <w:r>
        <w:rPr>
          <w:rFonts w:cs="Arial" w:ascii="Arial" w:hAnsi="Arial"/>
          <w:b/>
          <w:sz w:val="20"/>
          <w:szCs w:val="20"/>
        </w:rPr>
      </w:r>
    </w:p>
    <w:p>
      <w:pPr>
        <w:pStyle w:val="Normal"/>
        <w:tabs>
          <w:tab w:val="clear" w:pos="720"/>
          <w:tab w:val="left" w:pos="975" w:leader="none"/>
        </w:tabs>
        <w:ind w:right="425"/>
        <w:jc w:val="both"/>
        <w:rPr>
          <w:rFonts w:ascii="Arial" w:hAnsi="Arial" w:cs="Arial"/>
          <w:b/>
          <w:sz w:val="20"/>
          <w:szCs w:val="20"/>
        </w:rPr>
      </w:pPr>
      <w:r>
        <w:rPr/>
        <w:drawing>
          <wp:inline distT="0" distB="0" distL="0" distR="0">
            <wp:extent cx="6181725" cy="3785870"/>
            <wp:effectExtent l="0" t="0" r="0" b="0"/>
            <wp:docPr id="5"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
                    <pic:cNvPicPr>
                      <a:picLocks noChangeAspect="1" noChangeArrowheads="1"/>
                    </pic:cNvPicPr>
                  </pic:nvPicPr>
                  <pic:blipFill>
                    <a:blip r:embed="rId6"/>
                    <a:stretch>
                      <a:fillRect/>
                    </a:stretch>
                  </pic:blipFill>
                  <pic:spPr bwMode="auto">
                    <a:xfrm>
                      <a:off x="0" y="0"/>
                      <a:ext cx="6181725" cy="3785870"/>
                    </a:xfrm>
                    <a:prstGeom prst="rect">
                      <a:avLst/>
                    </a:prstGeom>
                    <a:noFill/>
                  </pic:spPr>
                </pic:pic>
              </a:graphicData>
            </a:graphic>
          </wp:inline>
        </w:drawing>
      </w:r>
    </w:p>
    <w:p>
      <w:pPr>
        <w:pStyle w:val="Normal"/>
        <w:ind w:right="425"/>
        <w:jc w:val="both"/>
        <w:rPr>
          <w:rFonts w:ascii="Arial" w:hAnsi="Arial" w:cs="Arial"/>
          <w:iCs/>
          <w:sz w:val="16"/>
          <w:szCs w:val="16"/>
        </w:rPr>
      </w:pPr>
      <w:r>
        <w:rPr>
          <w:rFonts w:cs="Arial" w:ascii="Arial" w:hAnsi="Arial"/>
          <w:iCs/>
          <w:sz w:val="16"/>
          <w:szCs w:val="16"/>
        </w:rPr>
      </w:r>
    </w:p>
    <w:p>
      <w:pPr>
        <w:pStyle w:val="Normal"/>
        <w:ind w:right="425"/>
        <w:jc w:val="both"/>
        <w:rPr>
          <w:color w:val="808080"/>
        </w:rPr>
      </w:pPr>
      <w:bookmarkStart w:id="9" w:name="_Hlk144912683"/>
      <w:r>
        <w:rPr>
          <w:rFonts w:cs="Arial" w:ascii="Arial" w:hAnsi="Arial"/>
          <w:iCs/>
          <w:color w:val="808080"/>
          <w:sz w:val="16"/>
          <w:szCs w:val="16"/>
        </w:rPr>
        <w:t>Avots: ARCO REAL ESTATE</w:t>
      </w:r>
      <w:bookmarkEnd w:id="9"/>
    </w:p>
    <w:p>
      <w:pPr>
        <w:pStyle w:val="Normal"/>
        <w:tabs>
          <w:tab w:val="clear" w:pos="720"/>
          <w:tab w:val="left" w:pos="975" w:leader="none"/>
        </w:tabs>
        <w:ind w:right="425"/>
        <w:jc w:val="both"/>
        <w:rPr>
          <w:rFonts w:ascii="Arial" w:hAnsi="Arial" w:cs="Arial"/>
          <w:b/>
          <w:sz w:val="20"/>
          <w:szCs w:val="20"/>
        </w:rPr>
      </w:pPr>
      <w:r>
        <w:rPr>
          <w:rFonts w:cs="Arial" w:ascii="Arial" w:hAnsi="Arial"/>
          <w:b/>
          <w:sz w:val="20"/>
          <w:szCs w:val="20"/>
        </w:rPr>
      </w:r>
    </w:p>
    <w:p>
      <w:pPr>
        <w:pStyle w:val="Normal"/>
        <w:ind w:right="425"/>
        <w:jc w:val="both"/>
        <w:rPr>
          <w:rFonts w:ascii="Arial" w:hAnsi="Arial" w:cs="Arial"/>
          <w:sz w:val="20"/>
          <w:szCs w:val="20"/>
        </w:rPr>
      </w:pPr>
      <w:r>
        <w:rPr>
          <w:rFonts w:cs="Arial" w:ascii="Arial" w:hAnsi="Arial"/>
          <w:sz w:val="20"/>
          <w:szCs w:val="20"/>
        </w:rPr>
        <w:t>Sērijveida dzīvokļu viena kvadrātmetra vidējā cena augustā palielinājās vienas istabas dzīvokļiem (+0,9 %), divu istabu dzīvokļiem (+1,2 %), trīs istabu dzīvokļiem (+1,1 %) un četru istabu dzīvokļiem (+0,7 %). Kopš šī gada sākuma visvairāk palielināj</w:t>
      </w:r>
      <w:r>
        <w:rPr>
          <w:rFonts w:cs="Arial" w:ascii="Arial" w:hAnsi="Arial"/>
          <w:sz w:val="20"/>
          <w:szCs w:val="20"/>
        </w:rPr>
        <w:t>ās</w:t>
      </w:r>
      <w:r>
        <w:rPr>
          <w:rFonts w:cs="Arial" w:ascii="Arial" w:hAnsi="Arial"/>
          <w:sz w:val="20"/>
          <w:szCs w:val="20"/>
        </w:rPr>
        <w:t xml:space="preserve"> divu istabu dzīvokļu cena (+10,4 %).</w:t>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rPr>
          <w:rFonts w:ascii="Arial" w:hAnsi="Arial" w:cs="Arial"/>
          <w:b/>
          <w:sz w:val="20"/>
          <w:szCs w:val="20"/>
        </w:rPr>
      </w:pPr>
      <w:r>
        <w:rPr>
          <w:rFonts w:cs="Arial" w:ascii="Arial" w:hAnsi="Arial"/>
          <w:b/>
          <w:sz w:val="20"/>
          <w:szCs w:val="20"/>
        </w:rPr>
        <w:t>Sērijveida dzīvokļu vidējās cenas Rīgas mikrorajonos dalījumā pēc istabu skaita, EUR/m²</w:t>
      </w:r>
    </w:p>
    <w:p>
      <w:pPr>
        <w:pStyle w:val="Normal"/>
        <w:ind w:right="425"/>
        <w:rPr>
          <w:rFonts w:ascii="Arial" w:hAnsi="Arial" w:cs="Arial"/>
          <w:b/>
          <w:sz w:val="20"/>
          <w:szCs w:val="20"/>
        </w:rPr>
      </w:pPr>
      <w:r>
        <w:rPr>
          <w:rFonts w:cs="Arial" w:ascii="Arial" w:hAnsi="Arial"/>
          <w:b/>
          <w:sz w:val="20"/>
          <w:szCs w:val="20"/>
        </w:rPr>
      </w:r>
    </w:p>
    <w:p>
      <w:pPr>
        <w:pStyle w:val="Normal"/>
        <w:ind w:right="425"/>
        <w:rPr>
          <w:rFonts w:ascii="Arial" w:hAnsi="Arial" w:cs="Arial"/>
          <w:b/>
          <w:sz w:val="20"/>
          <w:szCs w:val="20"/>
        </w:rPr>
      </w:pPr>
      <w:r>
        <w:rPr/>
        <w:drawing>
          <wp:inline distT="0" distB="0" distL="0" distR="0">
            <wp:extent cx="5339715" cy="2726690"/>
            <wp:effectExtent l="0" t="0" r="0" b="0"/>
            <wp:docPr id="6"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descr=""/>
                    <pic:cNvPicPr>
                      <a:picLocks noChangeAspect="1" noChangeArrowheads="1"/>
                    </pic:cNvPicPr>
                  </pic:nvPicPr>
                  <pic:blipFill>
                    <a:blip r:embed="rId7"/>
                    <a:stretch>
                      <a:fillRect/>
                    </a:stretch>
                  </pic:blipFill>
                  <pic:spPr bwMode="auto">
                    <a:xfrm>
                      <a:off x="0" y="0"/>
                      <a:ext cx="5339715" cy="2726690"/>
                    </a:xfrm>
                    <a:prstGeom prst="rect">
                      <a:avLst/>
                    </a:prstGeom>
                    <a:noFill/>
                  </pic:spPr>
                </pic:pic>
              </a:graphicData>
            </a:graphic>
          </wp:inline>
        </w:drawing>
      </w:r>
    </w:p>
    <w:p>
      <w:pPr>
        <w:pStyle w:val="Normal"/>
        <w:ind w:right="425"/>
        <w:jc w:val="both"/>
        <w:rPr>
          <w:rFonts w:ascii="Arial" w:hAnsi="Arial" w:cs="Arial"/>
          <w:i/>
          <w:i/>
          <w:sz w:val="16"/>
          <w:szCs w:val="16"/>
        </w:rPr>
      </w:pPr>
      <w:r>
        <w:rPr>
          <w:rFonts w:cs="Arial" w:ascii="Arial" w:hAnsi="Arial"/>
          <w:i/>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Salīdzinot ar iepriekšējo mēnesi, augustā dzīvokļu piedāvājums Rīgā samazināj</w:t>
      </w:r>
      <w:r>
        <w:rPr>
          <w:rFonts w:cs="Arial" w:ascii="Arial" w:hAnsi="Arial"/>
          <w:color w:themeColor="text1" w:val="000000"/>
          <w:sz w:val="20"/>
          <w:szCs w:val="20"/>
        </w:rPr>
        <w:t>ā</w:t>
      </w:r>
      <w:r>
        <w:rPr>
          <w:rFonts w:cs="Arial" w:ascii="Arial" w:hAnsi="Arial"/>
          <w:color w:themeColor="text1" w:val="000000"/>
          <w:sz w:val="20"/>
          <w:szCs w:val="20"/>
        </w:rPr>
        <w:t>s par 1 %. Piedāvājumu skaits “</w:t>
      </w:r>
      <w:r>
        <w:rPr>
          <w:rFonts w:cs="Arial" w:ascii="Arial" w:hAnsi="Arial"/>
          <w:iCs/>
          <w:color w:themeColor="text1" w:val="000000"/>
          <w:sz w:val="20"/>
          <w:szCs w:val="20"/>
        </w:rPr>
        <w:t>ARCO REAL ESTATE”</w:t>
      </w:r>
      <w:r>
        <w:rPr>
          <w:rFonts w:cs="Arial" w:ascii="Arial" w:hAnsi="Arial"/>
          <w:color w:themeColor="text1" w:val="000000"/>
          <w:sz w:val="20"/>
          <w:szCs w:val="20"/>
        </w:rPr>
        <w:t xml:space="preserve"> analizētajos Rīgas lielākajos mikrorajonos arī samazināj</w:t>
      </w:r>
      <w:r>
        <w:rPr>
          <w:rFonts w:cs="Arial" w:ascii="Arial" w:hAnsi="Arial"/>
          <w:color w:themeColor="text1" w:val="000000"/>
          <w:sz w:val="20"/>
          <w:szCs w:val="20"/>
        </w:rPr>
        <w:t>ā</w:t>
      </w:r>
      <w:r>
        <w:rPr>
          <w:rFonts w:cs="Arial" w:ascii="Arial" w:hAnsi="Arial"/>
          <w:color w:themeColor="text1" w:val="000000"/>
          <w:sz w:val="20"/>
          <w:szCs w:val="20"/>
        </w:rPr>
        <w:t xml:space="preserve">s – par 4 %. Salīdzinot ar 2025. gada augustu, dzīvokļu piedāvājums </w:t>
      </w:r>
      <w:r>
        <w:rPr>
          <w:rFonts w:cs="Arial" w:ascii="Arial" w:hAnsi="Arial"/>
          <w:color w:themeColor="text1" w:val="000000"/>
          <w:sz w:val="20"/>
          <w:szCs w:val="20"/>
        </w:rPr>
        <w:t xml:space="preserve">šī gada augustā </w:t>
      </w:r>
      <w:r>
        <w:rPr>
          <w:rFonts w:cs="Arial" w:ascii="Arial" w:hAnsi="Arial"/>
          <w:color w:themeColor="text1" w:val="000000"/>
          <w:sz w:val="20"/>
          <w:szCs w:val="20"/>
        </w:rPr>
        <w:t xml:space="preserve">kopumā </w:t>
      </w:r>
      <w:r>
        <w:rPr>
          <w:rFonts w:cs="Arial" w:ascii="Arial" w:hAnsi="Arial"/>
          <w:color w:themeColor="text1" w:val="000000"/>
          <w:sz w:val="20"/>
          <w:szCs w:val="20"/>
        </w:rPr>
        <w:t>bija</w:t>
      </w:r>
      <w:r>
        <w:rPr>
          <w:rFonts w:cs="Arial" w:ascii="Arial" w:hAnsi="Arial"/>
          <w:color w:themeColor="text1" w:val="000000"/>
          <w:sz w:val="20"/>
          <w:szCs w:val="20"/>
        </w:rPr>
        <w:t xml:space="preserve"> mazāks: kopējais dzīvokļu piedāvājumu skaits </w:t>
      </w:r>
      <w:r>
        <w:rPr>
          <w:rFonts w:cs="Arial" w:ascii="Arial" w:hAnsi="Arial"/>
          <w:color w:themeColor="text1" w:val="000000"/>
          <w:sz w:val="20"/>
          <w:szCs w:val="20"/>
        </w:rPr>
        <w:t>bija</w:t>
      </w:r>
      <w:r>
        <w:rPr>
          <w:rFonts w:cs="Arial" w:ascii="Arial" w:hAnsi="Arial"/>
          <w:color w:themeColor="text1" w:val="000000"/>
          <w:sz w:val="20"/>
          <w:szCs w:val="20"/>
        </w:rPr>
        <w:t xml:space="preserve"> </w:t>
      </w:r>
      <w:r>
        <w:rPr>
          <w:rFonts w:cs="Arial" w:ascii="Arial" w:hAnsi="Arial"/>
          <w:color w:themeColor="text1" w:val="000000"/>
          <w:sz w:val="20"/>
          <w:szCs w:val="20"/>
        </w:rPr>
        <w:t xml:space="preserve">mazāks </w:t>
      </w:r>
      <w:r>
        <w:rPr>
          <w:rFonts w:cs="Arial" w:ascii="Arial" w:hAnsi="Arial"/>
          <w:color w:themeColor="text1" w:val="000000"/>
          <w:sz w:val="20"/>
          <w:szCs w:val="20"/>
        </w:rPr>
        <w:t xml:space="preserve">par 8 %, bet lielāko mikrorajonu dzīvokļu piedāvājums – </w:t>
      </w:r>
      <w:r>
        <w:rPr>
          <w:rFonts w:cs="Arial" w:ascii="Arial" w:hAnsi="Arial"/>
          <w:color w:themeColor="text1" w:val="000000"/>
          <w:sz w:val="20"/>
          <w:szCs w:val="20"/>
        </w:rPr>
        <w:t xml:space="preserve">par </w:t>
      </w:r>
      <w:r>
        <w:rPr>
          <w:rFonts w:cs="Arial" w:ascii="Arial" w:hAnsi="Arial"/>
          <w:color w:themeColor="text1" w:val="000000"/>
          <w:sz w:val="20"/>
          <w:szCs w:val="20"/>
        </w:rPr>
        <w:t xml:space="preserve">18 % </w:t>
      </w:r>
      <w:r>
        <w:rPr>
          <w:rFonts w:cs="Arial" w:ascii="Arial" w:hAnsi="Arial"/>
          <w:color w:themeColor="text1" w:val="000000"/>
          <w:sz w:val="20"/>
          <w:szCs w:val="20"/>
        </w:rPr>
        <w:t>mazāks</w:t>
      </w:r>
      <w:r>
        <w:rPr>
          <w:rFonts w:cs="Arial" w:ascii="Arial" w:hAnsi="Arial"/>
          <w:color w:themeColor="text1" w:val="000000"/>
          <w:sz w:val="20"/>
          <w:szCs w:val="20"/>
        </w:rPr>
        <w:t>.</w:t>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Dzīvokļu piedāvājuma dinamika Rīgā</w:t>
      </w:r>
    </w:p>
    <w:p>
      <w:pPr>
        <w:pStyle w:val="Normal"/>
        <w:ind w:right="425"/>
        <w:jc w:val="both"/>
        <w:rPr>
          <w:rFonts w:ascii="Arial" w:hAnsi="Arial" w:cs="Arial"/>
          <w:b/>
          <w:color w:themeColor="text1" w:val="000000"/>
          <w:sz w:val="20"/>
          <w:szCs w:val="20"/>
        </w:rPr>
      </w:pPr>
      <w:r>
        <w:rPr/>
      </w:r>
    </w:p>
    <w:p>
      <w:pPr>
        <w:pStyle w:val="Normal"/>
        <w:ind w:right="425"/>
        <w:jc w:val="both"/>
        <w:rPr>
          <w:rFonts w:ascii="Arial" w:hAnsi="Arial" w:cs="Arial"/>
          <w:b/>
          <w:color w:themeColor="text1" w:val="000000"/>
          <w:sz w:val="20"/>
          <w:szCs w:val="20"/>
        </w:rPr>
      </w:pPr>
      <w:r>
        <w:rPr/>
        <w:drawing>
          <wp:inline distT="0" distB="0" distL="0" distR="0">
            <wp:extent cx="6157595" cy="2316480"/>
            <wp:effectExtent l="0" t="0" r="0" b="0"/>
            <wp:docPr id="7"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
                    <pic:cNvPicPr>
                      <a:picLocks noChangeAspect="1" noChangeArrowheads="1"/>
                    </pic:cNvPicPr>
                  </pic:nvPicPr>
                  <pic:blipFill>
                    <a:blip r:embed="rId8"/>
                    <a:stretch>
                      <a:fillRect/>
                    </a:stretch>
                  </pic:blipFill>
                  <pic:spPr bwMode="auto">
                    <a:xfrm>
                      <a:off x="0" y="0"/>
                      <a:ext cx="6157595" cy="2316480"/>
                    </a:xfrm>
                    <a:prstGeom prst="rect">
                      <a:avLst/>
                    </a:prstGeom>
                    <a:noFill/>
                  </pic:spPr>
                </pic:pic>
              </a:graphicData>
            </a:graphic>
          </wp:inline>
        </w:drawing>
      </w:r>
    </w:p>
    <w:p>
      <w:pPr>
        <w:pStyle w:val="Normal"/>
        <w:ind w:right="425"/>
        <w:jc w:val="both"/>
        <w:rPr>
          <w:rFonts w:ascii="Arial" w:hAnsi="Arial" w:cs="Arial"/>
          <w:i/>
          <w:i/>
          <w:color w:themeColor="text1" w:val="000000"/>
          <w:sz w:val="10"/>
          <w:szCs w:val="10"/>
        </w:rPr>
      </w:pPr>
      <w:r>
        <w:rPr>
          <w:rFonts w:cs="Arial" w:ascii="Arial" w:hAnsi="Arial"/>
          <w:i/>
          <w:color w:themeColor="text1" w:val="000000"/>
          <w:sz w:val="10"/>
          <w:szCs w:val="10"/>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Apkopojot dzīvokļu piedāvājumu skaitu Rīgas mikrorajonos, var secināt, ka vislielākais piedāvājumu skaits augustā joprojām bija Āgenskalnā, savukārt vismazākais – Bolderājā.</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Dzīvokļu piedāvājumu skaits Rīgā 2026. gada augusta beigās</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rFonts w:ascii="Arial" w:hAnsi="Arial" w:cs="Arial"/>
          <w:b/>
          <w:color w:themeColor="text1" w:val="000000"/>
          <w:sz w:val="20"/>
          <w:szCs w:val="20"/>
        </w:rPr>
      </w:pPr>
      <w:r>
        <w:rPr/>
        <w:drawing>
          <wp:inline distT="0" distB="0" distL="0" distR="0">
            <wp:extent cx="4511675" cy="3450590"/>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9"/>
                    <a:stretch>
                      <a:fillRect/>
                    </a:stretch>
                  </pic:blipFill>
                  <pic:spPr bwMode="auto">
                    <a:xfrm>
                      <a:off x="0" y="0"/>
                      <a:ext cx="4511675" cy="3450590"/>
                    </a:xfrm>
                    <a:prstGeom prst="rect">
                      <a:avLst/>
                    </a:prstGeom>
                    <a:noFill/>
                  </pic:spPr>
                </pic:pic>
              </a:graphicData>
            </a:graphic>
          </wp:inline>
        </w:drawing>
      </w:r>
    </w:p>
    <w:p>
      <w:pPr>
        <w:pStyle w:val="Normal"/>
        <w:ind w:right="425"/>
        <w:jc w:val="both"/>
        <w:rPr>
          <w:rFonts w:ascii="Arial" w:hAnsi="Arial" w:cs="Arial"/>
          <w:i/>
          <w:i/>
          <w:color w:themeColor="text1" w:val="000000"/>
          <w:sz w:val="16"/>
          <w:szCs w:val="16"/>
        </w:rPr>
      </w:pPr>
      <w:r>
        <w:rPr>
          <w:rFonts w:cs="Arial" w:ascii="Arial" w:hAnsi="Arial"/>
          <w:i/>
          <w:color w:themeColor="text1" w:val="000000"/>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Augustā Rīgas lielākajos mikrorajonos dzīvokļu piedāvājumu skaits gan palielināj</w:t>
      </w:r>
      <w:r>
        <w:rPr>
          <w:rFonts w:cs="Arial" w:ascii="Arial" w:hAnsi="Arial"/>
          <w:color w:themeColor="text1" w:val="000000"/>
          <w:sz w:val="20"/>
          <w:szCs w:val="20"/>
        </w:rPr>
        <w:t>ās</w:t>
      </w:r>
      <w:r>
        <w:rPr>
          <w:rFonts w:cs="Arial" w:ascii="Arial" w:hAnsi="Arial"/>
          <w:color w:themeColor="text1" w:val="000000"/>
          <w:sz w:val="20"/>
          <w:szCs w:val="20"/>
        </w:rPr>
        <w:t>, gan samazināj</w:t>
      </w:r>
      <w:r>
        <w:rPr>
          <w:rFonts w:cs="Arial" w:ascii="Arial" w:hAnsi="Arial"/>
          <w:color w:themeColor="text1" w:val="000000"/>
          <w:sz w:val="20"/>
          <w:szCs w:val="20"/>
        </w:rPr>
        <w:t>ās</w:t>
      </w:r>
      <w:r>
        <w:rPr>
          <w:rFonts w:cs="Arial" w:ascii="Arial" w:hAnsi="Arial"/>
          <w:color w:themeColor="text1" w:val="000000"/>
          <w:sz w:val="20"/>
          <w:szCs w:val="20"/>
        </w:rPr>
        <w:t>. Tomēr kopumā piedāvājum</w:t>
      </w:r>
      <w:r>
        <w:rPr>
          <w:rFonts w:cs="Arial" w:ascii="Arial" w:hAnsi="Arial"/>
          <w:color w:themeColor="text1" w:val="000000"/>
          <w:sz w:val="20"/>
          <w:szCs w:val="20"/>
        </w:rPr>
        <w:t>u</w:t>
      </w:r>
      <w:r>
        <w:rPr>
          <w:rFonts w:cs="Arial" w:ascii="Arial" w:hAnsi="Arial"/>
          <w:color w:themeColor="text1" w:val="000000"/>
          <w:sz w:val="20"/>
          <w:szCs w:val="20"/>
        </w:rPr>
        <w:t xml:space="preserve"> skaits </w:t>
      </w:r>
      <w:r>
        <w:rPr>
          <w:rFonts w:cs="Arial" w:ascii="Arial" w:hAnsi="Arial"/>
          <w:color w:themeColor="text1" w:val="000000"/>
          <w:sz w:val="20"/>
          <w:szCs w:val="20"/>
        </w:rPr>
        <w:t>bija</w:t>
      </w:r>
      <w:r>
        <w:rPr>
          <w:rFonts w:cs="Arial" w:ascii="Arial" w:hAnsi="Arial"/>
          <w:color w:themeColor="text1" w:val="000000"/>
          <w:sz w:val="20"/>
          <w:szCs w:val="20"/>
        </w:rPr>
        <w:t xml:space="preserve"> zemāks nekā pagājušajā mēnesī. Visvairāk piedāvājumu skaits augustā palielinājās Zolitūdē (+23 %). Dzīvokļu piedāvājumu skaits augustā visvairāk samazināj</w:t>
      </w:r>
      <w:r>
        <w:rPr>
          <w:rFonts w:cs="Arial" w:ascii="Arial" w:hAnsi="Arial"/>
          <w:color w:themeColor="text1" w:val="000000"/>
          <w:sz w:val="20"/>
          <w:szCs w:val="20"/>
        </w:rPr>
        <w:t>ās</w:t>
      </w:r>
      <w:r>
        <w:rPr>
          <w:rFonts w:cs="Arial" w:ascii="Arial" w:hAnsi="Arial"/>
          <w:color w:themeColor="text1" w:val="000000"/>
          <w:sz w:val="20"/>
          <w:szCs w:val="20"/>
        </w:rPr>
        <w:t xml:space="preserve"> Iļģuciemā (-35 %). </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color w:themeColor="text1" w:val="000000"/>
          <w:sz w:val="20"/>
          <w:szCs w:val="20"/>
        </w:rPr>
      </w:pPr>
      <w:r>
        <w:rPr>
          <w:rFonts w:cs="Arial" w:ascii="Arial" w:hAnsi="Arial"/>
          <w:color w:themeColor="text1" w:val="000000"/>
          <w:sz w:val="20"/>
          <w:szCs w:val="20"/>
        </w:rPr>
        <w:t>Augustā, analizējot piedāvājuma skaitu proporcionāli mikrorajona lielumam, proti, pēc iedzīvotāju skaita, vislielākais piedāvājums konstatēts Āgenskalnā. Savukārt piedāvājumu skaits proporcionāli vismazākais bija Iļģuciemā.</w:t>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t xml:space="preserve">Dzīvokļu piedāvājums proporcionāli Rīgas mikrorajonu lielumam 2026. gada augustā </w:t>
      </w:r>
    </w:p>
    <w:p>
      <w:pPr>
        <w:pStyle w:val="Normal"/>
        <w:ind w:right="425"/>
        <w:jc w:val="both"/>
        <w:rPr>
          <w:rFonts w:ascii="Arial" w:hAnsi="Arial" w:cs="Arial"/>
          <w:b/>
          <w:color w:themeColor="text1" w:val="000000"/>
          <w:sz w:val="20"/>
          <w:szCs w:val="20"/>
        </w:rPr>
      </w:pPr>
      <w:r>
        <w:rPr>
          <w:rFonts w:cs="Arial" w:ascii="Arial" w:hAnsi="Arial"/>
          <w:b/>
          <w:color w:themeColor="text1" w:val="000000"/>
          <w:sz w:val="20"/>
          <w:szCs w:val="20"/>
        </w:rPr>
      </w:r>
    </w:p>
    <w:p>
      <w:pPr>
        <w:pStyle w:val="Normal"/>
        <w:ind w:right="425"/>
        <w:jc w:val="both"/>
        <w:rPr>
          <w:rFonts w:ascii="Arial" w:hAnsi="Arial" w:cs="Arial"/>
          <w:color w:themeColor="text1" w:val="000000"/>
          <w:sz w:val="20"/>
          <w:szCs w:val="20"/>
        </w:rPr>
      </w:pPr>
      <w:r>
        <w:rPr/>
        <w:drawing>
          <wp:inline distT="0" distB="0" distL="0" distR="0">
            <wp:extent cx="4420235" cy="3493135"/>
            <wp:effectExtent l="0" t="0" r="0" b="0"/>
            <wp:docPr id="9"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
                    <pic:cNvPicPr>
                      <a:picLocks noChangeAspect="1" noChangeArrowheads="1"/>
                    </pic:cNvPicPr>
                  </pic:nvPicPr>
                  <pic:blipFill>
                    <a:blip r:embed="rId10"/>
                    <a:stretch>
                      <a:fillRect/>
                    </a:stretch>
                  </pic:blipFill>
                  <pic:spPr bwMode="auto">
                    <a:xfrm>
                      <a:off x="0" y="0"/>
                      <a:ext cx="4420235" cy="3493135"/>
                    </a:xfrm>
                    <a:prstGeom prst="rect">
                      <a:avLst/>
                    </a:prstGeom>
                    <a:noFill/>
                  </pic:spPr>
                </pic:pic>
              </a:graphicData>
            </a:graphic>
          </wp:inline>
        </w:drawing>
      </w:r>
    </w:p>
    <w:p>
      <w:pPr>
        <w:pStyle w:val="Normal"/>
        <w:ind w:right="425"/>
        <w:jc w:val="both"/>
        <w:rPr>
          <w:rFonts w:ascii="Arial" w:hAnsi="Arial" w:cs="Arial"/>
          <w:i/>
          <w:i/>
          <w:color w:themeColor="text1" w:val="000000"/>
          <w:sz w:val="16"/>
          <w:szCs w:val="16"/>
        </w:rPr>
      </w:pPr>
      <w:r>
        <w:rPr>
          <w:rFonts w:cs="Arial" w:ascii="Arial" w:hAnsi="Arial"/>
          <w:i/>
          <w:color w:themeColor="text1" w:val="000000"/>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sz w:val="20"/>
          <w:szCs w:val="20"/>
        </w:rPr>
      </w:pPr>
      <w:r>
        <w:rPr>
          <w:rFonts w:cs="Arial" w:ascii="Arial" w:hAnsi="Arial"/>
          <w:sz w:val="20"/>
          <w:szCs w:val="20"/>
        </w:rPr>
        <w:t>Augustā Rīgas mikrorajonos sērijveida dzīvokļu cenās varēja novērot izmaiņas. Visos Rīgas lielākajos mikrorajonos varēja novērot dzīvokļu vidējās cenas pieaugumu. Lielākais vidējās cenas pieaugums novērots Ķengaragā, Zolitūdē un Āgenskalnā, kur cenas mēneša laikā pieauga par 1,6 %. Arī citos Rīgas mikrorajonos cenu pieaugums bija lielāks salīdzinājumā ar iepriekšējiem mēnešiem.</w:t>
      </w:r>
    </w:p>
    <w:p>
      <w:pPr>
        <w:pStyle w:val="Normal"/>
        <w:ind w:right="425"/>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rPr>
          <w:rFonts w:ascii="Arial" w:hAnsi="Arial" w:cs="Arial"/>
          <w:b/>
          <w:sz w:val="20"/>
          <w:szCs w:val="20"/>
        </w:rPr>
      </w:pPr>
      <w:r>
        <w:rPr>
          <w:rFonts w:cs="Arial" w:ascii="Arial" w:hAnsi="Arial"/>
          <w:b/>
          <w:sz w:val="20"/>
          <w:szCs w:val="20"/>
        </w:rPr>
        <w:t>Sērijveida dzīvokļu kvadrātmetra vidējās cenas izmaiņas Rīgas mikrorajonos, %</w:t>
      </w:r>
    </w:p>
    <w:p>
      <w:pPr>
        <w:pStyle w:val="Normal"/>
        <w:ind w:right="425"/>
        <w:rPr>
          <w:rFonts w:ascii="Arial" w:hAnsi="Arial" w:cs="Arial"/>
          <w:b/>
          <w:sz w:val="20"/>
          <w:szCs w:val="20"/>
        </w:rPr>
      </w:pPr>
      <w:r>
        <w:rPr>
          <w:rFonts w:cs="Arial" w:ascii="Arial" w:hAnsi="Arial"/>
          <w:b/>
          <w:sz w:val="20"/>
          <w:szCs w:val="20"/>
        </w:rPr>
      </w:r>
    </w:p>
    <w:p>
      <w:pPr>
        <w:pStyle w:val="Normal"/>
        <w:ind w:right="425"/>
        <w:jc w:val="both"/>
        <w:rPr/>
      </w:pPr>
      <w:r>
        <w:rPr/>
        <w:drawing>
          <wp:inline distT="0" distB="0" distL="0" distR="0">
            <wp:extent cx="4140835" cy="2441575"/>
            <wp:effectExtent l="0" t="0" r="0" b="0"/>
            <wp:docPr id="10"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8" descr=""/>
                    <pic:cNvPicPr>
                      <a:picLocks noChangeAspect="1" noChangeArrowheads="1"/>
                    </pic:cNvPicPr>
                  </pic:nvPicPr>
                  <pic:blipFill>
                    <a:blip r:embed="rId11"/>
                    <a:stretch>
                      <a:fillRect/>
                    </a:stretch>
                  </pic:blipFill>
                  <pic:spPr bwMode="auto">
                    <a:xfrm>
                      <a:off x="0" y="0"/>
                      <a:ext cx="4140835" cy="2441575"/>
                    </a:xfrm>
                    <a:prstGeom prst="rect">
                      <a:avLst/>
                    </a:prstGeom>
                    <a:noFill/>
                  </pic:spPr>
                </pic:pic>
              </a:graphicData>
            </a:graphic>
          </wp:inline>
        </w:drawing>
      </w:r>
    </w:p>
    <w:p>
      <w:pPr>
        <w:pStyle w:val="Normal"/>
        <w:ind w:right="425"/>
        <w:jc w:val="both"/>
        <w:rPr>
          <w:rFonts w:ascii="Arial" w:hAnsi="Arial" w:cs="Arial"/>
          <w:i/>
          <w:i/>
          <w:sz w:val="16"/>
          <w:szCs w:val="16"/>
        </w:rPr>
      </w:pPr>
      <w:r>
        <w:rPr>
          <w:rFonts w:cs="Arial" w:ascii="Arial" w:hAnsi="Arial"/>
          <w:i/>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sz w:val="20"/>
          <w:szCs w:val="20"/>
        </w:rPr>
      </w:pPr>
      <w:r>
        <w:rPr>
          <w:rFonts w:cs="Arial" w:ascii="Arial" w:hAnsi="Arial"/>
          <w:sz w:val="20"/>
          <w:szCs w:val="20"/>
        </w:rPr>
        <w:t xml:space="preserve">Salīdzinot ar 2026. gada sākumu, 2026. gada augustā visos Rīgas lielākajos mikrorajonos sērijveida dzīvokļu cenas </w:t>
      </w:r>
      <w:r>
        <w:rPr>
          <w:rFonts w:cs="Arial" w:ascii="Arial" w:hAnsi="Arial"/>
          <w:sz w:val="20"/>
          <w:szCs w:val="20"/>
        </w:rPr>
        <w:t xml:space="preserve">bija </w:t>
      </w:r>
      <w:r>
        <w:rPr>
          <w:rFonts w:cs="Arial" w:ascii="Arial" w:hAnsi="Arial"/>
          <w:sz w:val="20"/>
          <w:szCs w:val="20"/>
        </w:rPr>
        <w:t xml:space="preserve">augstākas. </w:t>
      </w:r>
      <w:r>
        <w:rPr>
          <w:rFonts w:cs="Arial" w:ascii="Arial" w:hAnsi="Arial"/>
          <w:sz w:val="20"/>
          <w:szCs w:val="20"/>
        </w:rPr>
        <w:t>Dzīvokļu kvadrātmetra a</w:t>
      </w:r>
      <w:r>
        <w:rPr>
          <w:rFonts w:cs="Arial" w:ascii="Arial" w:hAnsi="Arial"/>
          <w:sz w:val="20"/>
          <w:szCs w:val="20"/>
        </w:rPr>
        <w:t>ugstākā vidējā cena bija Teikā, bet viszemākā – joprojām Bolderājā.</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b/>
          <w:sz w:val="20"/>
          <w:szCs w:val="20"/>
        </w:rPr>
      </w:pPr>
      <w:r>
        <w:rPr>
          <w:rFonts w:cs="Arial" w:ascii="Arial" w:hAnsi="Arial"/>
          <w:b/>
          <w:sz w:val="20"/>
          <w:szCs w:val="20"/>
        </w:rPr>
        <w:t>Sērijveida dzīvokļu vidējās cenas Rīgas mikrorajonos, EUR/m²</w:t>
      </w:r>
    </w:p>
    <w:p>
      <w:pPr>
        <w:pStyle w:val="Normal"/>
        <w:ind w:right="425"/>
        <w:jc w:val="both"/>
        <w:rPr>
          <w:rFonts w:ascii="Arial" w:hAnsi="Arial" w:cs="Arial"/>
          <w:b/>
          <w:sz w:val="20"/>
          <w:szCs w:val="20"/>
        </w:rPr>
      </w:pPr>
      <w:r>
        <w:rPr>
          <w:rFonts w:cs="Arial" w:ascii="Arial" w:hAnsi="Arial"/>
          <w:b/>
          <w:sz w:val="20"/>
          <w:szCs w:val="20"/>
        </w:rPr>
      </w:r>
    </w:p>
    <w:p>
      <w:pPr>
        <w:pStyle w:val="Normal"/>
        <w:ind w:firstLine="1080" w:left="-1080" w:right="425"/>
        <w:jc w:val="both"/>
        <w:rPr>
          <w:rFonts w:ascii="Arial" w:hAnsi="Arial" w:cs="Arial"/>
          <w:sz w:val="20"/>
          <w:szCs w:val="20"/>
        </w:rPr>
      </w:pPr>
      <w:r>
        <w:rPr/>
        <w:drawing>
          <wp:inline distT="0" distB="0" distL="0" distR="0">
            <wp:extent cx="6248400" cy="2424430"/>
            <wp:effectExtent l="0" t="0" r="0" b="0"/>
            <wp:docPr id="1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 descr=""/>
                    <pic:cNvPicPr>
                      <a:picLocks noChangeAspect="1" noChangeArrowheads="1"/>
                    </pic:cNvPicPr>
                  </pic:nvPicPr>
                  <pic:blipFill>
                    <a:blip r:embed="rId12"/>
                    <a:stretch>
                      <a:fillRect/>
                    </a:stretch>
                  </pic:blipFill>
                  <pic:spPr bwMode="auto">
                    <a:xfrm>
                      <a:off x="0" y="0"/>
                      <a:ext cx="6248400" cy="2424430"/>
                    </a:xfrm>
                    <a:prstGeom prst="rect">
                      <a:avLst/>
                    </a:prstGeom>
                    <a:noFill/>
                  </pic:spPr>
                </pic:pic>
              </a:graphicData>
            </a:graphic>
          </wp:inline>
        </w:drawing>
      </w:r>
    </w:p>
    <w:p>
      <w:pPr>
        <w:pStyle w:val="Normal"/>
        <w:ind w:right="425"/>
        <w:jc w:val="both"/>
        <w:rPr>
          <w:rFonts w:ascii="Arial" w:hAnsi="Arial" w:cs="Arial"/>
          <w:sz w:val="10"/>
          <w:szCs w:val="10"/>
        </w:rPr>
      </w:pPr>
      <w:r>
        <w:rPr>
          <w:rFonts w:cs="Arial" w:ascii="Arial" w:hAnsi="Arial"/>
          <w:sz w:val="10"/>
          <w:szCs w:val="10"/>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sz w:val="20"/>
          <w:szCs w:val="20"/>
        </w:rPr>
      </w:pPr>
      <w:bookmarkStart w:id="10" w:name="OLE_LINK8"/>
      <w:bookmarkStart w:id="11" w:name="OLE_LINK7"/>
      <w:r>
        <w:rPr>
          <w:rFonts w:cs="Arial" w:ascii="Arial" w:hAnsi="Arial"/>
          <w:sz w:val="20"/>
          <w:szCs w:val="20"/>
        </w:rPr>
        <w:t>Sērijveida dzīvokļu augstākās cenas augustā saglabājās Teikā, kur kvadrātmetra vidējā cena pieaug</w:t>
      </w:r>
      <w:r>
        <w:rPr>
          <w:rFonts w:cs="Arial" w:ascii="Arial" w:hAnsi="Arial"/>
          <w:sz w:val="20"/>
          <w:szCs w:val="20"/>
        </w:rPr>
        <w:t>a</w:t>
      </w:r>
      <w:r>
        <w:rPr>
          <w:rFonts w:cs="Arial" w:ascii="Arial" w:hAnsi="Arial"/>
          <w:sz w:val="20"/>
          <w:szCs w:val="20"/>
        </w:rPr>
        <w:t xml:space="preserve"> līdz 1 155 EUR/m². Viena kvadrātmetra zemākā vidējā cena augustā bija</w:t>
      </w:r>
      <w:r>
        <w:rPr>
          <w:rFonts w:cs="Arial" w:ascii="Arial" w:hAnsi="Arial"/>
          <w:i/>
          <w:sz w:val="20"/>
          <w:szCs w:val="20"/>
        </w:rPr>
        <w:t xml:space="preserve"> </w:t>
      </w:r>
      <w:r>
        <w:rPr>
          <w:rFonts w:cs="Arial" w:ascii="Arial" w:hAnsi="Arial"/>
          <w:sz w:val="20"/>
          <w:szCs w:val="20"/>
        </w:rPr>
        <w:t>Bolderājā – 720 EUR/m², kas arī palielināj</w:t>
      </w:r>
      <w:r>
        <w:rPr>
          <w:rFonts w:cs="Arial" w:ascii="Arial" w:hAnsi="Arial"/>
          <w:sz w:val="20"/>
          <w:szCs w:val="20"/>
        </w:rPr>
        <w:t xml:space="preserve">ās, </w:t>
      </w:r>
      <w:r>
        <w:rPr>
          <w:rFonts w:cs="Arial" w:ascii="Arial" w:hAnsi="Arial"/>
          <w:sz w:val="20"/>
          <w:szCs w:val="20"/>
        </w:rPr>
        <w:t>salīdzin</w:t>
      </w:r>
      <w:r>
        <w:rPr>
          <w:rFonts w:cs="Arial" w:ascii="Arial" w:hAnsi="Arial"/>
          <w:sz w:val="20"/>
          <w:szCs w:val="20"/>
        </w:rPr>
        <w:t>ot</w:t>
      </w:r>
      <w:r>
        <w:rPr>
          <w:rFonts w:cs="Arial" w:ascii="Arial" w:hAnsi="Arial"/>
          <w:sz w:val="20"/>
          <w:szCs w:val="20"/>
        </w:rPr>
        <w:t xml:space="preserve"> ar iepriekšējo mēnesi.</w:t>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sz w:val="20"/>
          <w:szCs w:val="20"/>
        </w:rPr>
      </w:pPr>
      <w:r>
        <w:rPr>
          <w:rFonts w:cs="Arial" w:ascii="Arial" w:hAnsi="Arial"/>
          <w:b/>
          <w:sz w:val="20"/>
          <w:szCs w:val="20"/>
        </w:rPr>
        <w:t>Sērijveida dzīvokļu vidējās cenas Rīgas mikrorajonos 2026. gada 1. septembrī, EUR/m²</w:t>
      </w:r>
    </w:p>
    <w:p>
      <w:pPr>
        <w:pStyle w:val="Normal"/>
        <w:ind w:right="425"/>
        <w:jc w:val="both"/>
        <w:rPr>
          <w:rFonts w:ascii="Arial" w:hAnsi="Arial" w:cs="Arial"/>
          <w:b/>
          <w:sz w:val="20"/>
          <w:szCs w:val="20"/>
        </w:rPr>
      </w:pPr>
      <w:r>
        <w:rPr>
          <w:rFonts w:cs="Arial" w:ascii="Arial" w:hAnsi="Arial"/>
          <w:b/>
          <w:sz w:val="20"/>
          <w:szCs w:val="20"/>
        </w:rPr>
      </w:r>
    </w:p>
    <w:p>
      <w:pPr>
        <w:pStyle w:val="Normal"/>
        <w:ind w:right="425"/>
        <w:jc w:val="both"/>
        <w:rPr>
          <w:rFonts w:ascii="Arial" w:hAnsi="Arial" w:cs="Arial"/>
          <w:b/>
          <w:sz w:val="20"/>
          <w:szCs w:val="20"/>
        </w:rPr>
      </w:pPr>
      <w:r>
        <w:rPr/>
        <w:drawing>
          <wp:inline distT="0" distB="0" distL="0" distR="0">
            <wp:extent cx="6229350" cy="3811270"/>
            <wp:effectExtent l="0" t="0" r="0" b="0"/>
            <wp:docPr id="12"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descr=""/>
                    <pic:cNvPicPr>
                      <a:picLocks noChangeAspect="1" noChangeArrowheads="1"/>
                    </pic:cNvPicPr>
                  </pic:nvPicPr>
                  <pic:blipFill>
                    <a:blip r:embed="rId13"/>
                    <a:stretch>
                      <a:fillRect/>
                    </a:stretch>
                  </pic:blipFill>
                  <pic:spPr bwMode="auto">
                    <a:xfrm>
                      <a:off x="0" y="0"/>
                      <a:ext cx="6229350" cy="3811270"/>
                    </a:xfrm>
                    <a:prstGeom prst="rect">
                      <a:avLst/>
                    </a:prstGeom>
                    <a:noFill/>
                  </pic:spPr>
                </pic:pic>
              </a:graphicData>
            </a:graphic>
          </wp:inline>
        </w:drawing>
      </w:r>
    </w:p>
    <w:p>
      <w:pPr>
        <w:pStyle w:val="Normal"/>
        <w:ind w:right="425"/>
        <w:jc w:val="both"/>
        <w:rPr>
          <w:rFonts w:ascii="Arial" w:hAnsi="Arial" w:cs="Arial"/>
          <w:i/>
          <w:i/>
          <w:sz w:val="16"/>
          <w:szCs w:val="16"/>
        </w:rPr>
      </w:pPr>
      <w:r>
        <w:rPr>
          <w:rFonts w:cs="Arial" w:ascii="Arial" w:hAnsi="Arial"/>
          <w:i/>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iCs/>
          <w:color w:themeColor="accent1" w:val="156082"/>
          <w:sz w:val="20"/>
          <w:szCs w:val="20"/>
        </w:rPr>
      </w:pPr>
      <w:r>
        <w:rPr>
          <w:rFonts w:cs="Arial" w:ascii="Arial" w:hAnsi="Arial"/>
          <w:iCs/>
          <w:color w:themeColor="accent1" w:val="156082"/>
          <w:sz w:val="20"/>
          <w:szCs w:val="20"/>
        </w:rPr>
      </w:r>
    </w:p>
    <w:p>
      <w:pPr>
        <w:pStyle w:val="Normal"/>
        <w:ind w:right="425"/>
        <w:jc w:val="both"/>
        <w:rPr>
          <w:rFonts w:ascii="Arial" w:hAnsi="Arial" w:cs="Arial"/>
          <w:sz w:val="20"/>
          <w:szCs w:val="20"/>
        </w:rPr>
      </w:pPr>
      <w:r>
        <w:rPr>
          <w:rFonts w:cs="Arial" w:ascii="Arial" w:hAnsi="Arial"/>
          <w:sz w:val="20"/>
          <w:szCs w:val="20"/>
        </w:rPr>
        <w:t>Augustā visdārgākie dzīvokļi saglabājās 119. un 104. sērijas mājās, kurās cenas divistabu dzīvokļiem apmierinošā stāvoklī bija robežās no 58 000 līdz 62 000 eiro atkarībā no atrašanās vietas. Savukārt vislētākās bija lietuviešu projekta mājas, kur divistabu dzīvokļu cenu amplitūda bija no 34 000 līdz 49 000 eiro, un Hruščova laika mājas, kurās cenas divistabu dzīvokļiem bija robežās no 33 000 līdz 50 000 eiro atkarībā no mikrorajona.</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b/>
          <w:sz w:val="20"/>
          <w:szCs w:val="20"/>
        </w:rPr>
      </w:pPr>
      <w:r>
        <w:rPr>
          <w:rFonts w:cs="Arial" w:ascii="Arial" w:hAnsi="Arial"/>
          <w:b/>
          <w:sz w:val="20"/>
          <w:szCs w:val="20"/>
        </w:rPr>
        <w:t>Rīgas mikrorajonu dzīvokļu cenas 2026. gada augustā dalījumā pēc sērijām (divistabu dzīvokļiem), EUR</w:t>
      </w:r>
    </w:p>
    <w:p>
      <w:pPr>
        <w:pStyle w:val="Normal"/>
        <w:ind w:right="425"/>
        <w:jc w:val="both"/>
        <w:rPr>
          <w:rFonts w:ascii="Arial" w:hAnsi="Arial" w:cs="Arial"/>
          <w:b/>
          <w:sz w:val="20"/>
          <w:szCs w:val="20"/>
        </w:rPr>
      </w:pPr>
      <w:r>
        <w:rPr/>
      </w:r>
    </w:p>
    <w:p>
      <w:pPr>
        <w:pStyle w:val="Normal"/>
        <w:ind w:firstLine="1080" w:left="-1080" w:right="425"/>
        <w:jc w:val="both"/>
        <w:rPr>
          <w:rFonts w:ascii="Arial" w:hAnsi="Arial" w:cs="Arial"/>
          <w:sz w:val="20"/>
          <w:szCs w:val="20"/>
        </w:rPr>
      </w:pPr>
      <w:r>
        <w:rPr/>
        <w:drawing>
          <wp:inline distT="0" distB="0" distL="0" distR="0">
            <wp:extent cx="6236970" cy="2818130"/>
            <wp:effectExtent l="0" t="0" r="0" b="0"/>
            <wp:docPr id="13"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
                    <pic:cNvPicPr>
                      <a:picLocks noChangeAspect="1" noChangeArrowheads="1"/>
                    </pic:cNvPicPr>
                  </pic:nvPicPr>
                  <pic:blipFill>
                    <a:blip r:embed="rId14"/>
                    <a:stretch>
                      <a:fillRect/>
                    </a:stretch>
                  </pic:blipFill>
                  <pic:spPr bwMode="auto">
                    <a:xfrm>
                      <a:off x="0" y="0"/>
                      <a:ext cx="6236970" cy="2818130"/>
                    </a:xfrm>
                    <a:prstGeom prst="rect">
                      <a:avLst/>
                    </a:prstGeom>
                    <a:noFill/>
                  </pic:spPr>
                </pic:pic>
              </a:graphicData>
            </a:graphic>
          </wp:inline>
        </w:drawing>
      </w:r>
    </w:p>
    <w:p>
      <w:pPr>
        <w:pStyle w:val="Normal"/>
        <w:ind w:right="425"/>
        <w:jc w:val="both"/>
        <w:rPr>
          <w:rFonts w:ascii="Arial" w:hAnsi="Arial" w:cs="Arial"/>
          <w:iCs/>
          <w:sz w:val="16"/>
          <w:szCs w:val="16"/>
        </w:rPr>
      </w:pPr>
      <w:r>
        <w:rPr/>
      </w:r>
    </w:p>
    <w:p>
      <w:pPr>
        <w:pStyle w:val="Normal"/>
        <w:ind w:right="425"/>
        <w:jc w:val="both"/>
        <w:rPr>
          <w:color w:val="808080"/>
        </w:rPr>
      </w:pPr>
      <w:bookmarkStart w:id="12" w:name="OLE_LINK8"/>
      <w:bookmarkStart w:id="13" w:name="OLE_LINK7"/>
      <w:r>
        <w:rPr>
          <w:rFonts w:cs="Arial" w:ascii="Arial" w:hAnsi="Arial"/>
          <w:iCs/>
          <w:color w:val="808080"/>
          <w:sz w:val="16"/>
          <w:szCs w:val="16"/>
        </w:rPr>
        <w:t>Avots: ARCO REAL ESTATE</w:t>
      </w:r>
      <w:bookmarkEnd w:id="12"/>
      <w:bookmarkEnd w:id="13"/>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color w:themeColor="accent1" w:val="156082"/>
        </w:rPr>
      </w:pPr>
      <w:r>
        <w:rPr>
          <w:rFonts w:cs="Arial" w:ascii="Arial" w:hAnsi="Arial"/>
          <w:b/>
          <w:color w:themeColor="accent1" w:val="156082"/>
        </w:rPr>
      </w:r>
      <w:r>
        <w:br w:type="page"/>
      </w:r>
    </w:p>
    <w:p>
      <w:pPr>
        <w:pStyle w:val="Normal"/>
        <w:spacing w:before="0" w:after="0"/>
        <w:ind w:right="425"/>
        <w:jc w:val="center"/>
        <w:rPr>
          <w:rFonts w:ascii="Arial" w:hAnsi="Arial" w:cs="Arial"/>
          <w:b/>
          <w:color w:themeColor="accent1" w:val="156082"/>
        </w:rPr>
      </w:pPr>
      <w:r>
        <w:rPr>
          <w:rFonts w:cs="Arial" w:ascii="Arial" w:hAnsi="Arial"/>
          <w:b/>
          <w:color w:themeColor="accent1" w:val="156082"/>
        </w:rPr>
      </w:r>
    </w:p>
    <w:p>
      <w:pPr>
        <w:pStyle w:val="Normal"/>
        <w:ind w:right="425"/>
        <w:jc w:val="center"/>
        <w:rPr>
          <w:rFonts w:ascii="Arial" w:hAnsi="Arial" w:cs="Arial"/>
          <w:b/>
        </w:rPr>
      </w:pPr>
      <w:r>
        <w:rPr>
          <w:rFonts w:cs="Arial" w:ascii="Arial" w:hAnsi="Arial"/>
          <w:b/>
        </w:rPr>
        <w:t>Dzīvokļu tirgus Rīgas apkārtnē</w:t>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sz w:val="20"/>
          <w:szCs w:val="20"/>
        </w:rPr>
      </w:pPr>
      <w:r>
        <w:rPr>
          <w:rFonts w:cs="Arial" w:ascii="Arial" w:hAnsi="Arial"/>
          <w:b/>
          <w:sz w:val="20"/>
          <w:szCs w:val="20"/>
        </w:rPr>
        <w:t>Ogre</w:t>
      </w:r>
    </w:p>
    <w:p>
      <w:pPr>
        <w:pStyle w:val="Normal"/>
        <w:ind w:right="425"/>
        <w:jc w:val="both"/>
        <w:rPr>
          <w:rFonts w:ascii="Arial" w:hAnsi="Arial" w:cs="Arial"/>
          <w:sz w:val="20"/>
          <w:szCs w:val="20"/>
        </w:rPr>
      </w:pPr>
      <w:r>
        <w:rPr>
          <w:rFonts w:cs="Arial" w:ascii="Arial" w:hAnsi="Arial"/>
          <w:sz w:val="20"/>
          <w:szCs w:val="20"/>
        </w:rPr>
      </w:r>
    </w:p>
    <w:p>
      <w:pPr>
        <w:pStyle w:val="Normal"/>
        <w:ind w:right="425"/>
        <w:jc w:val="both"/>
        <w:rPr>
          <w:rFonts w:ascii="Arial" w:hAnsi="Arial" w:cs="Arial"/>
          <w:sz w:val="20"/>
          <w:szCs w:val="20"/>
        </w:rPr>
      </w:pPr>
      <w:r>
        <w:rPr>
          <w:rFonts w:cs="Arial" w:ascii="Arial" w:hAnsi="Arial"/>
          <w:sz w:val="20"/>
          <w:szCs w:val="20"/>
        </w:rPr>
        <w:t xml:space="preserve">2026. gada augustā sērijveida dzīvokļu cenas palielinājās par 0,6 %. Dzīvokļu viena kvadrātmetra vidējā cena pieauga līdz 913 EUR/m². Dzīvokļu cenas Ogrē augustā </w:t>
      </w:r>
      <w:r>
        <w:rPr>
          <w:rFonts w:cs="Arial" w:ascii="Arial" w:hAnsi="Arial"/>
          <w:sz w:val="20"/>
          <w:szCs w:val="20"/>
        </w:rPr>
        <w:t>bija</w:t>
      </w:r>
      <w:r>
        <w:rPr>
          <w:rFonts w:cs="Arial" w:ascii="Arial" w:hAnsi="Arial"/>
          <w:sz w:val="20"/>
          <w:szCs w:val="20"/>
        </w:rPr>
        <w:t xml:space="preserve"> par 11 % augstākas nekā 2026. gada sākumā.</w:t>
      </w:r>
    </w:p>
    <w:p>
      <w:pPr>
        <w:pStyle w:val="Normal"/>
        <w:ind w:right="425"/>
        <w:rPr>
          <w:rFonts w:ascii="Arial" w:hAnsi="Arial" w:cs="Arial"/>
          <w:b/>
          <w:bCs/>
          <w:sz w:val="20"/>
          <w:szCs w:val="20"/>
        </w:rPr>
      </w:pPr>
      <w:r>
        <w:rPr>
          <w:rFonts w:cs="Arial" w:ascii="Arial" w:hAnsi="Arial"/>
          <w:b/>
          <w:bCs/>
          <w:sz w:val="20"/>
          <w:szCs w:val="20"/>
        </w:rPr>
      </w:r>
    </w:p>
    <w:p>
      <w:pPr>
        <w:pStyle w:val="Normal"/>
        <w:ind w:right="425"/>
        <w:rPr>
          <w:rFonts w:ascii="Arial" w:hAnsi="Arial" w:cs="Arial"/>
          <w:b/>
          <w:bCs/>
          <w:sz w:val="20"/>
          <w:szCs w:val="20"/>
        </w:rPr>
      </w:pPr>
      <w:r>
        <w:rPr>
          <w:rFonts w:cs="Arial" w:ascii="Arial" w:hAnsi="Arial"/>
          <w:b/>
          <w:bCs/>
          <w:sz w:val="20"/>
          <w:szCs w:val="20"/>
        </w:rPr>
        <w:t>Sērijveida dzīvokļu vidējās cenas dinamika Ogrē, EUR/m²</w:t>
      </w:r>
    </w:p>
    <w:p>
      <w:pPr>
        <w:pStyle w:val="Normal"/>
        <w:ind w:right="425"/>
        <w:rPr>
          <w:rFonts w:ascii="Arial" w:hAnsi="Arial" w:cs="Arial"/>
          <w:b/>
          <w:bCs/>
          <w:sz w:val="20"/>
          <w:szCs w:val="20"/>
          <w:vertAlign w:val="superscript"/>
        </w:rPr>
      </w:pPr>
      <w:r>
        <w:rPr>
          <w:rFonts w:cs="Arial" w:ascii="Arial" w:hAnsi="Arial"/>
          <w:b/>
          <w:bCs/>
          <w:sz w:val="20"/>
          <w:szCs w:val="20"/>
          <w:vertAlign w:val="superscript"/>
        </w:rPr>
      </w:r>
    </w:p>
    <w:p>
      <w:pPr>
        <w:pStyle w:val="Normal"/>
        <w:ind w:right="425"/>
        <w:rPr>
          <w:rFonts w:ascii="Arial" w:hAnsi="Arial" w:cs="Arial"/>
          <w:sz w:val="20"/>
          <w:szCs w:val="20"/>
        </w:rPr>
      </w:pPr>
      <w:r>
        <w:rPr/>
        <w:drawing>
          <wp:inline distT="0" distB="0" distL="0" distR="0">
            <wp:extent cx="6291580" cy="1552575"/>
            <wp:effectExtent l="0" t="0" r="0" b="0"/>
            <wp:docPr id="1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descr=""/>
                    <pic:cNvPicPr>
                      <a:picLocks noChangeAspect="1" noChangeArrowheads="1"/>
                    </pic:cNvPicPr>
                  </pic:nvPicPr>
                  <pic:blipFill>
                    <a:blip r:embed="rId15"/>
                    <a:stretch>
                      <a:fillRect/>
                    </a:stretch>
                  </pic:blipFill>
                  <pic:spPr bwMode="auto">
                    <a:xfrm>
                      <a:off x="0" y="0"/>
                      <a:ext cx="6291580" cy="1552575"/>
                    </a:xfrm>
                    <a:prstGeom prst="rect">
                      <a:avLst/>
                    </a:prstGeom>
                    <a:noFill/>
                  </pic:spPr>
                </pic:pic>
              </a:graphicData>
            </a:graphic>
          </wp:inline>
        </w:drawing>
      </w:r>
    </w:p>
    <w:p>
      <w:pPr>
        <w:pStyle w:val="Normal"/>
        <w:ind w:right="425"/>
        <w:jc w:val="both"/>
        <w:rPr>
          <w:rFonts w:ascii="Arial" w:hAnsi="Arial" w:cs="Arial"/>
          <w:iCs/>
          <w:sz w:val="16"/>
          <w:szCs w:val="16"/>
        </w:rPr>
      </w:pPr>
      <w:r>
        <w:rPr>
          <w:rFonts w:cs="Arial" w:ascii="Arial" w:hAnsi="Arial"/>
          <w:iCs/>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rPr>
          <w:rFonts w:ascii="Arial" w:hAnsi="Arial" w:cs="Arial"/>
          <w:b/>
          <w:sz w:val="20"/>
          <w:szCs w:val="20"/>
        </w:rPr>
      </w:pPr>
      <w:r>
        <w:rPr>
          <w:rFonts w:cs="Arial" w:ascii="Arial" w:hAnsi="Arial"/>
          <w:b/>
          <w:sz w:val="20"/>
          <w:szCs w:val="20"/>
        </w:rPr>
        <w:t>Kauguri, Jūrmala</w:t>
      </w:r>
    </w:p>
    <w:p>
      <w:pPr>
        <w:pStyle w:val="Normal"/>
        <w:ind w:right="425"/>
        <w:jc w:val="both"/>
        <w:rPr>
          <w:rFonts w:ascii="Arial" w:hAnsi="Arial" w:cs="Arial"/>
          <w:sz w:val="20"/>
          <w:szCs w:val="20"/>
        </w:rPr>
      </w:pPr>
      <w:r>
        <w:rPr>
          <w:rFonts w:cs="Arial" w:ascii="Arial" w:hAnsi="Arial"/>
          <w:sz w:val="20"/>
          <w:szCs w:val="20"/>
        </w:rPr>
        <w:t xml:space="preserve"> </w:t>
      </w:r>
    </w:p>
    <w:p>
      <w:pPr>
        <w:pStyle w:val="Normal"/>
        <w:ind w:right="425"/>
        <w:jc w:val="both"/>
        <w:rPr>
          <w:rFonts w:ascii="Arial" w:hAnsi="Arial" w:cs="Arial"/>
          <w:sz w:val="20"/>
          <w:szCs w:val="20"/>
        </w:rPr>
      </w:pPr>
      <w:r>
        <w:rPr>
          <w:rFonts w:cs="Arial" w:ascii="Arial" w:hAnsi="Arial"/>
          <w:sz w:val="20"/>
          <w:szCs w:val="20"/>
        </w:rPr>
        <w:t xml:space="preserve">Kauguros 2026. gada augustā sērijveida dzīvokļu cenas palielinājās par 0,5 %. Sērijveida dzīvokļu vidējā cena augustā – 887 EUR/m². Kopš 2026. gada sākuma dzīvokļu cenas Kauguros </w:t>
      </w:r>
      <w:r>
        <w:rPr>
          <w:rFonts w:cs="Arial" w:ascii="Arial" w:hAnsi="Arial"/>
          <w:sz w:val="20"/>
          <w:szCs w:val="20"/>
        </w:rPr>
        <w:t>bija</w:t>
      </w:r>
      <w:r>
        <w:rPr>
          <w:rFonts w:cs="Arial" w:ascii="Arial" w:hAnsi="Arial"/>
          <w:sz w:val="20"/>
          <w:szCs w:val="20"/>
        </w:rPr>
        <w:t xml:space="preserve"> augstākas par 7 %. </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b/>
          <w:sz w:val="20"/>
          <w:szCs w:val="20"/>
          <w:vertAlign w:val="superscript"/>
        </w:rPr>
      </w:pPr>
      <w:r>
        <w:rPr>
          <w:rFonts w:cs="Arial" w:ascii="Arial" w:hAnsi="Arial"/>
          <w:b/>
          <w:sz w:val="20"/>
          <w:szCs w:val="20"/>
        </w:rPr>
        <w:t>Sērijveida dzīvokļu vidējās cenas dinamika Kauguros, EUR/m²</w:t>
      </w:r>
    </w:p>
    <w:p>
      <w:pPr>
        <w:pStyle w:val="Normal"/>
        <w:ind w:right="425"/>
        <w:jc w:val="both"/>
        <w:rPr>
          <w:rFonts w:ascii="Arial" w:hAnsi="Arial" w:cs="Arial"/>
          <w:b/>
          <w:sz w:val="20"/>
          <w:szCs w:val="20"/>
          <w:vertAlign w:val="superscript"/>
        </w:rPr>
      </w:pPr>
      <w:r>
        <w:rPr>
          <w:rFonts w:cs="Arial" w:ascii="Arial" w:hAnsi="Arial"/>
          <w:b/>
          <w:sz w:val="20"/>
          <w:szCs w:val="20"/>
          <w:vertAlign w:val="superscript"/>
        </w:rPr>
      </w:r>
    </w:p>
    <w:p>
      <w:pPr>
        <w:pStyle w:val="Normal"/>
        <w:ind w:right="425"/>
        <w:jc w:val="both"/>
        <w:rPr>
          <w:rFonts w:ascii="Arial" w:hAnsi="Arial" w:cs="Arial"/>
          <w:sz w:val="20"/>
          <w:szCs w:val="20"/>
        </w:rPr>
      </w:pPr>
      <w:r>
        <w:rPr/>
        <w:drawing>
          <wp:inline distT="0" distB="0" distL="0" distR="0">
            <wp:extent cx="6257290" cy="1581785"/>
            <wp:effectExtent l="0" t="0" r="0" b="0"/>
            <wp:docPr id="1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 descr=""/>
                    <pic:cNvPicPr>
                      <a:picLocks noChangeAspect="1" noChangeArrowheads="1"/>
                    </pic:cNvPicPr>
                  </pic:nvPicPr>
                  <pic:blipFill>
                    <a:blip r:embed="rId16"/>
                    <a:stretch>
                      <a:fillRect/>
                    </a:stretch>
                  </pic:blipFill>
                  <pic:spPr bwMode="auto">
                    <a:xfrm>
                      <a:off x="0" y="0"/>
                      <a:ext cx="6257290" cy="1581785"/>
                    </a:xfrm>
                    <a:prstGeom prst="rect">
                      <a:avLst/>
                    </a:prstGeom>
                    <a:noFill/>
                  </pic:spPr>
                </pic:pic>
              </a:graphicData>
            </a:graphic>
          </wp:inline>
        </w:drawing>
      </w:r>
    </w:p>
    <w:p>
      <w:pPr>
        <w:pStyle w:val="Normal"/>
        <w:ind w:right="425"/>
        <w:jc w:val="both"/>
        <w:rPr>
          <w:rFonts w:ascii="Arial" w:hAnsi="Arial" w:cs="Arial"/>
          <w:i/>
          <w:i/>
          <w:sz w:val="16"/>
          <w:szCs w:val="16"/>
        </w:rPr>
      </w:pPr>
      <w:r>
        <w:rPr>
          <w:rFonts w:cs="Arial" w:ascii="Arial" w:hAnsi="Arial"/>
          <w:i/>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b/>
          <w:sz w:val="20"/>
          <w:szCs w:val="20"/>
        </w:rPr>
      </w:pPr>
      <w:r>
        <w:rPr>
          <w:rFonts w:cs="Arial" w:ascii="Arial" w:hAnsi="Arial"/>
          <w:b/>
          <w:sz w:val="20"/>
          <w:szCs w:val="20"/>
        </w:rPr>
        <w:t>Salaspils</w:t>
      </w:r>
    </w:p>
    <w:p>
      <w:pPr>
        <w:pStyle w:val="Normal"/>
        <w:ind w:right="425"/>
        <w:jc w:val="both"/>
        <w:rPr>
          <w:rFonts w:ascii="Arial" w:hAnsi="Arial" w:cs="Arial"/>
          <w:sz w:val="20"/>
          <w:szCs w:val="20"/>
        </w:rPr>
      </w:pPr>
      <w:r>
        <w:rPr>
          <w:rFonts w:cs="Arial" w:ascii="Arial" w:hAnsi="Arial"/>
          <w:sz w:val="20"/>
          <w:szCs w:val="20"/>
        </w:rPr>
      </w:r>
    </w:p>
    <w:p>
      <w:pPr>
        <w:pStyle w:val="Normal"/>
        <w:ind w:right="425"/>
        <w:jc w:val="both"/>
        <w:rPr>
          <w:rFonts w:ascii="Arial" w:hAnsi="Arial" w:cs="Arial"/>
          <w:sz w:val="20"/>
          <w:szCs w:val="20"/>
        </w:rPr>
      </w:pPr>
      <w:bookmarkStart w:id="14" w:name="OLE_LINK2"/>
      <w:bookmarkStart w:id="15" w:name="OLE_LINK1"/>
      <w:r>
        <w:rPr>
          <w:rFonts w:cs="Arial" w:ascii="Arial" w:hAnsi="Arial"/>
          <w:sz w:val="20"/>
          <w:szCs w:val="20"/>
        </w:rPr>
        <w:t>2026. gada augustā sērijveida dzīvokļu cenas Salaspilī palielinājās par 0,6 %. Dzīvokļu viena kvadrātmetra vidējā cena pieauga līdz 913 EUR/m².</w:t>
      </w:r>
      <w:bookmarkEnd w:id="14"/>
      <w:bookmarkEnd w:id="15"/>
      <w:r>
        <w:rPr>
          <w:rFonts w:cs="Arial" w:ascii="Arial" w:hAnsi="Arial"/>
          <w:sz w:val="20"/>
          <w:szCs w:val="20"/>
        </w:rPr>
        <w:t xml:space="preserve"> Augustā sērijveida dzīvokļu cenas Salaspilī bija par 8 % augstākas nekā šā gada sākumā.</w:t>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sz w:val="20"/>
          <w:szCs w:val="20"/>
          <w:vertAlign w:val="superscript"/>
        </w:rPr>
      </w:pPr>
      <w:r>
        <w:rPr>
          <w:rFonts w:cs="Arial" w:ascii="Arial" w:hAnsi="Arial"/>
          <w:b/>
          <w:sz w:val="20"/>
          <w:szCs w:val="20"/>
        </w:rPr>
        <w:t>Salaspils sērijveida dzīvokļu vidējās cenas dinamika, EUR/m²</w:t>
      </w:r>
    </w:p>
    <w:p>
      <w:pPr>
        <w:pStyle w:val="Normal"/>
        <w:ind w:right="425"/>
        <w:jc w:val="both"/>
        <w:rPr>
          <w:rFonts w:ascii="Arial" w:hAnsi="Arial" w:cs="Arial"/>
          <w:b/>
          <w:sz w:val="20"/>
          <w:szCs w:val="20"/>
          <w:vertAlign w:val="superscript"/>
        </w:rPr>
      </w:pPr>
      <w:r>
        <w:rPr/>
      </w:r>
    </w:p>
    <w:p>
      <w:pPr>
        <w:pStyle w:val="Normal"/>
        <w:ind w:right="425"/>
        <w:jc w:val="both"/>
        <w:rPr>
          <w:rFonts w:ascii="Arial" w:hAnsi="Arial" w:cs="Arial"/>
          <w:sz w:val="20"/>
          <w:szCs w:val="20"/>
        </w:rPr>
      </w:pPr>
      <w:r>
        <w:rPr/>
        <w:drawing>
          <wp:inline distT="0" distB="0" distL="0" distR="0">
            <wp:extent cx="6184900" cy="1602105"/>
            <wp:effectExtent l="0" t="0" r="0" b="0"/>
            <wp:docPr id="1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 descr=""/>
                    <pic:cNvPicPr>
                      <a:picLocks noChangeAspect="1" noChangeArrowheads="1"/>
                    </pic:cNvPicPr>
                  </pic:nvPicPr>
                  <pic:blipFill>
                    <a:blip r:embed="rId17"/>
                    <a:stretch>
                      <a:fillRect/>
                    </a:stretch>
                  </pic:blipFill>
                  <pic:spPr bwMode="auto">
                    <a:xfrm>
                      <a:off x="0" y="0"/>
                      <a:ext cx="6184900" cy="1602105"/>
                    </a:xfrm>
                    <a:prstGeom prst="rect">
                      <a:avLst/>
                    </a:prstGeom>
                    <a:noFill/>
                  </pic:spPr>
                </pic:pic>
              </a:graphicData>
            </a:graphic>
          </wp:inline>
        </w:drawing>
      </w:r>
    </w:p>
    <w:p>
      <w:pPr>
        <w:pStyle w:val="Normal"/>
        <w:ind w:right="425"/>
        <w:jc w:val="both"/>
        <w:rPr>
          <w:rFonts w:ascii="Arial" w:hAnsi="Arial" w:cs="Arial"/>
          <w:i/>
          <w:i/>
          <w:sz w:val="16"/>
          <w:szCs w:val="16"/>
        </w:rPr>
      </w:pPr>
      <w:r>
        <w:rPr>
          <w:rFonts w:cs="Arial" w:ascii="Arial" w:hAnsi="Arial"/>
          <w:i/>
          <w:sz w:val="16"/>
          <w:szCs w:val="16"/>
        </w:rPr>
      </w:r>
    </w:p>
    <w:p>
      <w:pPr>
        <w:pStyle w:val="Normal"/>
        <w:ind w:right="425"/>
        <w:jc w:val="both"/>
        <w:rPr>
          <w:color w:val="808080"/>
        </w:rPr>
      </w:pPr>
      <w:r>
        <w:rPr>
          <w:rFonts w:cs="Arial" w:ascii="Arial" w:hAnsi="Arial"/>
          <w:iCs/>
          <w:color w:val="808080"/>
          <w:sz w:val="16"/>
          <w:szCs w:val="16"/>
        </w:rPr>
        <w:t>Avots: ARCO REAL ESTATE</w:t>
      </w:r>
    </w:p>
    <w:p>
      <w:pPr>
        <w:pStyle w:val="Normal"/>
        <w:ind w:right="425"/>
        <w:jc w:val="both"/>
        <w:rPr>
          <w:rFonts w:ascii="Arial" w:hAnsi="Arial" w:cs="Arial"/>
          <w:color w:themeColor="accent1" w:val="156082"/>
          <w:sz w:val="20"/>
          <w:szCs w:val="20"/>
        </w:rPr>
      </w:pPr>
      <w:r>
        <w:rPr>
          <w:rFonts w:cs="Arial" w:ascii="Arial" w:hAnsi="Arial"/>
          <w:color w:themeColor="accent1" w:val="156082"/>
          <w:sz w:val="20"/>
          <w:szCs w:val="20"/>
        </w:rPr>
      </w:r>
    </w:p>
    <w:p>
      <w:pPr>
        <w:pStyle w:val="Normal"/>
        <w:ind w:right="425"/>
        <w:jc w:val="both"/>
        <w:rPr>
          <w:rFonts w:ascii="Arial" w:hAnsi="Arial" w:cs="Arial"/>
          <w:b/>
          <w:sz w:val="20"/>
          <w:szCs w:val="20"/>
        </w:rPr>
      </w:pPr>
      <w:r>
        <w:rPr>
          <w:rFonts w:cs="Arial" w:ascii="Arial" w:hAnsi="Arial"/>
          <w:b/>
          <w:sz w:val="20"/>
          <w:szCs w:val="20"/>
        </w:rPr>
        <w:t>Jelgava</w:t>
      </w:r>
    </w:p>
    <w:p>
      <w:pPr>
        <w:pStyle w:val="Normal"/>
        <w:ind w:right="425"/>
        <w:jc w:val="both"/>
        <w:rPr>
          <w:rFonts w:ascii="Arial" w:hAnsi="Arial" w:cs="Arial"/>
          <w:sz w:val="20"/>
          <w:szCs w:val="20"/>
        </w:rPr>
      </w:pPr>
      <w:r>
        <w:rPr>
          <w:rFonts w:cs="Arial" w:ascii="Arial" w:hAnsi="Arial"/>
          <w:sz w:val="20"/>
          <w:szCs w:val="20"/>
        </w:rPr>
      </w:r>
    </w:p>
    <w:p>
      <w:pPr>
        <w:pStyle w:val="Normal"/>
        <w:ind w:right="425"/>
        <w:jc w:val="both"/>
        <w:rPr>
          <w:rFonts w:ascii="Arial" w:hAnsi="Arial" w:cs="Arial"/>
          <w:sz w:val="20"/>
          <w:szCs w:val="20"/>
        </w:rPr>
      </w:pPr>
      <w:r>
        <w:rPr>
          <w:rFonts w:cs="Arial" w:ascii="Arial" w:hAnsi="Arial"/>
          <w:sz w:val="20"/>
          <w:szCs w:val="20"/>
        </w:rPr>
        <w:t xml:space="preserve">Jelgavā dzīvokļu cenas 2026. gada augustā saglabājās bez izmaiņām. Sērijveida dzīvokļu vidējā cena augustā Jelgavā – 800 EUR/m². Jelgavā sērijveida dzīvokļu cenas </w:t>
      </w:r>
      <w:r>
        <w:rPr>
          <w:rFonts w:cs="Arial" w:ascii="Arial" w:hAnsi="Arial"/>
          <w:sz w:val="20"/>
          <w:szCs w:val="20"/>
        </w:rPr>
        <w:t xml:space="preserve">augustā bija </w:t>
      </w:r>
      <w:r>
        <w:rPr>
          <w:rFonts w:cs="Arial" w:ascii="Arial" w:hAnsi="Arial"/>
          <w:sz w:val="20"/>
          <w:szCs w:val="20"/>
        </w:rPr>
        <w:t>par 4 % augstākas nekā 2026. gada sākumā.</w:t>
      </w:r>
    </w:p>
    <w:p>
      <w:pPr>
        <w:pStyle w:val="Normal"/>
        <w:ind w:right="425"/>
        <w:jc w:val="both"/>
        <w:rPr>
          <w:rFonts w:ascii="Arial" w:hAnsi="Arial" w:cs="Arial"/>
          <w:b/>
          <w:color w:themeColor="accent1" w:val="156082"/>
          <w:sz w:val="20"/>
          <w:szCs w:val="20"/>
        </w:rPr>
      </w:pPr>
      <w:r>
        <w:rPr>
          <w:rFonts w:cs="Arial" w:ascii="Arial" w:hAnsi="Arial"/>
          <w:b/>
          <w:color w:themeColor="accent1" w:val="156082"/>
          <w:sz w:val="20"/>
          <w:szCs w:val="20"/>
        </w:rPr>
      </w:r>
    </w:p>
    <w:p>
      <w:pPr>
        <w:pStyle w:val="Normal"/>
        <w:ind w:right="425"/>
        <w:jc w:val="both"/>
        <w:rPr>
          <w:rFonts w:ascii="Arial" w:hAnsi="Arial" w:cs="Arial"/>
          <w:b/>
          <w:sz w:val="20"/>
          <w:szCs w:val="20"/>
          <w:vertAlign w:val="superscript"/>
        </w:rPr>
      </w:pPr>
      <w:r>
        <w:rPr>
          <w:rFonts w:cs="Arial" w:ascii="Arial" w:hAnsi="Arial"/>
          <w:b/>
          <w:sz w:val="20"/>
          <w:szCs w:val="20"/>
        </w:rPr>
        <w:t>Jelgavas sērijveida dzīvokļu vidējās cenas dinamika, EUR/m</w:t>
      </w:r>
      <w:r>
        <w:rPr>
          <w:rFonts w:cs="Arial" w:ascii="Arial" w:hAnsi="Arial"/>
          <w:b/>
          <w:sz w:val="20"/>
          <w:szCs w:val="20"/>
          <w:vertAlign w:val="superscript"/>
        </w:rPr>
        <w:t>2</w:t>
      </w:r>
    </w:p>
    <w:p>
      <w:pPr>
        <w:pStyle w:val="Normal"/>
        <w:ind w:right="425"/>
        <w:jc w:val="both"/>
        <w:rPr>
          <w:rFonts w:ascii="Arial" w:hAnsi="Arial" w:cs="Arial"/>
          <w:b/>
          <w:sz w:val="20"/>
          <w:szCs w:val="20"/>
          <w:vertAlign w:val="superscript"/>
        </w:rPr>
      </w:pPr>
      <w:r>
        <w:rPr/>
      </w:r>
    </w:p>
    <w:p>
      <w:pPr>
        <w:pStyle w:val="Normal"/>
        <w:ind w:right="425"/>
        <w:jc w:val="both"/>
        <w:rPr>
          <w:rFonts w:ascii="Arial" w:hAnsi="Arial" w:cs="Arial"/>
          <w:b/>
          <w:sz w:val="20"/>
          <w:szCs w:val="20"/>
          <w:vertAlign w:val="superscript"/>
        </w:rPr>
      </w:pPr>
      <w:r>
        <w:rPr/>
        <w:drawing>
          <wp:inline distT="0" distB="0" distL="0" distR="0">
            <wp:extent cx="6230620" cy="1852295"/>
            <wp:effectExtent l="0" t="0" r="0" b="0"/>
            <wp:docPr id="17"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5" descr=""/>
                    <pic:cNvPicPr>
                      <a:picLocks noChangeAspect="1" noChangeArrowheads="1"/>
                    </pic:cNvPicPr>
                  </pic:nvPicPr>
                  <pic:blipFill>
                    <a:blip r:embed="rId18"/>
                    <a:stretch>
                      <a:fillRect/>
                    </a:stretch>
                  </pic:blipFill>
                  <pic:spPr bwMode="auto">
                    <a:xfrm>
                      <a:off x="0" y="0"/>
                      <a:ext cx="6230620" cy="1852295"/>
                    </a:xfrm>
                    <a:prstGeom prst="rect">
                      <a:avLst/>
                    </a:prstGeom>
                    <a:noFill/>
                  </pic:spPr>
                </pic:pic>
              </a:graphicData>
            </a:graphic>
          </wp:inline>
        </w:drawing>
      </w:r>
    </w:p>
    <w:p>
      <w:pPr>
        <w:pStyle w:val="Normal"/>
        <w:ind w:right="425"/>
        <w:jc w:val="both"/>
        <w:rPr>
          <w:rFonts w:ascii="Arial" w:hAnsi="Arial" w:cs="Arial"/>
          <w:i/>
          <w:i/>
          <w:sz w:val="16"/>
          <w:szCs w:val="16"/>
        </w:rPr>
      </w:pPr>
      <w:r>
        <w:rPr>
          <w:rFonts w:cs="Arial" w:ascii="Arial" w:hAnsi="Arial"/>
          <w:i/>
          <w:sz w:val="16"/>
          <w:szCs w:val="16"/>
        </w:rPr>
      </w:r>
    </w:p>
    <w:p>
      <w:pPr>
        <w:pStyle w:val="Normal"/>
        <w:ind w:right="425"/>
        <w:jc w:val="both"/>
        <w:rPr>
          <w:color w:val="808080"/>
        </w:rPr>
      </w:pPr>
      <w:r>
        <w:rPr>
          <w:rFonts w:cs="Arial" w:ascii="Arial" w:hAnsi="Arial"/>
          <w:iCs/>
          <w:color w:val="808080"/>
          <w:sz w:val="16"/>
          <w:szCs w:val="16"/>
        </w:rPr>
        <w:t>Avots: ARCO REAL ESTATE</w:t>
      </w:r>
    </w:p>
    <w:sectPr>
      <w:headerReference w:type="even" r:id="rId19"/>
      <w:headerReference w:type="default" r:id="rId20"/>
      <w:headerReference w:type="first" r:id="rId21"/>
      <w:footerReference w:type="even" r:id="rId22"/>
      <w:footerReference w:type="default" r:id="rId23"/>
      <w:footerReference w:type="first" r:id="rId24"/>
      <w:type w:val="nextPage"/>
      <w:pgSz w:w="11906" w:h="16838"/>
      <w:pgMar w:left="1134" w:right="566" w:gutter="0" w:header="708" w:top="1843" w:footer="101" w:bottom="8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Liberation Sans">
    <w:altName w:val="Arial"/>
    <w:charset w:val="01"/>
    <w:family w:val="swiss"/>
    <w:pitch w:val="variable"/>
  </w:font>
  <w:font w:name="Tahoma">
    <w:charset w:val="01"/>
    <w:family w:val="swiss"/>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20" name="Fram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tabs>
        <w:tab w:val="left" w:pos="429" w:leader="none"/>
        <w:tab w:val="center" w:pos="4153" w:leader="none"/>
        <w:tab w:val="right" w:pos="8306" w:leader="none"/>
      </w:tabs>
      <w:bidi w:val="0"/>
      <w:spacing w:before="0" w:after="0"/>
      <w:ind w:hanging="0" w:left="0" w:right="0"/>
      <w:jc w:val="left"/>
      <w:rPr/>
    </w:pPr>
    <w:r>
      <w:rPr/>
      <w:drawing>
        <wp:anchor behindDoc="0" distT="0" distB="0" distL="0" distR="0" simplePos="0" locked="0" layoutInCell="0" allowOverlap="1" relativeHeight="26">
          <wp:simplePos x="0" y="0"/>
          <wp:positionH relativeFrom="column">
            <wp:align>left</wp:align>
          </wp:positionH>
          <wp:positionV relativeFrom="paragraph">
            <wp:posOffset>635</wp:posOffset>
          </wp:positionV>
          <wp:extent cx="2581275" cy="247650"/>
          <wp:effectExtent l="0" t="0" r="0" b="0"/>
          <wp:wrapSquare wrapText="right"/>
          <wp:docPr id="18"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 descr=""/>
                  <pic:cNvPicPr>
                    <a:picLocks noChangeAspect="1" noChangeArrowheads="1"/>
                  </pic:cNvPicPr>
                </pic:nvPicPr>
                <pic:blipFill>
                  <a:blip r:embed="rId1"/>
                  <a:stretch>
                    <a:fillRect/>
                  </a:stretch>
                </pic:blipFill>
                <pic:spPr bwMode="auto">
                  <a:xfrm>
                    <a:off x="0" y="0"/>
                    <a:ext cx="2581275" cy="24765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tabs>
        <w:tab w:val="left" w:pos="429" w:leader="none"/>
        <w:tab w:val="center" w:pos="4153" w:leader="none"/>
        <w:tab w:val="right" w:pos="8306" w:leader="none"/>
      </w:tabs>
      <w:bidi w:val="0"/>
      <w:spacing w:before="0" w:after="0"/>
      <w:ind w:hanging="0" w:left="0" w:right="0"/>
      <w:jc w:val="left"/>
      <w:rPr/>
    </w:pPr>
    <w:r>
      <w:rPr/>
      <w:drawing>
        <wp:anchor behindDoc="0" distT="0" distB="0" distL="0" distR="0" simplePos="0" locked="0" layoutInCell="0" allowOverlap="1" relativeHeight="26">
          <wp:simplePos x="0" y="0"/>
          <wp:positionH relativeFrom="column">
            <wp:align>left</wp:align>
          </wp:positionH>
          <wp:positionV relativeFrom="paragraph">
            <wp:posOffset>635</wp:posOffset>
          </wp:positionV>
          <wp:extent cx="2581275" cy="247650"/>
          <wp:effectExtent l="0" t="0" r="0" b="0"/>
          <wp:wrapSquare wrapText="right"/>
          <wp:docPr id="1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 descr=""/>
                  <pic:cNvPicPr>
                    <a:picLocks noChangeAspect="1" noChangeArrowheads="1"/>
                  </pic:cNvPicPr>
                </pic:nvPicPr>
                <pic:blipFill>
                  <a:blip r:embed="rId1"/>
                  <a:stretch>
                    <a:fillRect/>
                  </a:stretch>
                </pic:blipFill>
                <pic:spPr bwMode="auto">
                  <a:xfrm>
                    <a:off x="0" y="0"/>
                    <a:ext cx="2581275" cy="247650"/>
                  </a:xfrm>
                  <a:prstGeom prst="rect">
                    <a:avLst/>
                  </a:prstGeom>
                  <a:noFill/>
                </pic:spPr>
              </pic:pic>
            </a:graphicData>
          </a:graphic>
        </wp:anchor>
      </w:drawing>
    </w:r>
  </w:p>
</w:hdr>
</file>

<file path=word/settings.xml><?xml version="1.0" encoding="utf-8"?>
<w:settings xmlns:w="http://schemas.openxmlformats.org/wordprocessingml/2006/main">
  <w:zoom w:percent="140"/>
  <w:embedSystem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33c8"/>
    <w:pPr>
      <w:widowControl/>
      <w:bidi w:val="0"/>
      <w:spacing w:before="0" w:after="0"/>
      <w:jc w:val="left"/>
    </w:pPr>
    <w:rPr>
      <w:rFonts w:ascii="Times New Roman" w:hAnsi="Times New Roman" w:eastAsia="Times New Roman" w:cs="Times New Roman"/>
      <w:color w:val="auto"/>
      <w:kern w:val="0"/>
      <w:sz w:val="24"/>
      <w:szCs w:val="24"/>
      <w:lang w:val="lv-LV" w:eastAsia="lv-LV" w:bidi="ar-SA"/>
    </w:rPr>
  </w:style>
  <w:style w:type="paragraph" w:styleId="Heading1">
    <w:name w:val="heading 1"/>
    <w:basedOn w:val="Normal"/>
    <w:next w:val="Normal"/>
    <w:link w:val="Heading1Char"/>
    <w:uiPriority w:val="9"/>
    <w:qFormat/>
    <w:rsid w:val="008a707c"/>
    <w:pPr>
      <w:keepNext w:val="true"/>
      <w:spacing w:before="240" w:after="60"/>
      <w:outlineLvl w:val="0"/>
    </w:pPr>
    <w:rPr>
      <w:rFonts w:ascii="Cambria" w:hAnsi="Cambria"/>
      <w:b/>
      <w:bCs/>
      <w:kern w:val="2"/>
      <w:sz w:val="32"/>
      <w:szCs w:val="32"/>
      <w:lang w:val="x-none" w:eastAsia="x-none"/>
    </w:rPr>
  </w:style>
  <w:style w:type="character" w:styleId="DefaultParagraphFont" w:default="1">
    <w:name w:val="Default Paragraph Font"/>
    <w:uiPriority w:val="1"/>
    <w:semiHidden/>
    <w:unhideWhenUsed/>
    <w:qFormat/>
    <w:rPr/>
  </w:style>
  <w:style w:type="character" w:styleId="PageNumber">
    <w:name w:val="page number"/>
    <w:basedOn w:val="DefaultParagraphFont"/>
    <w:rsid w:val="00811a85"/>
    <w:rPr/>
  </w:style>
  <w:style w:type="character" w:styleId="Heading1Char" w:customStyle="1">
    <w:name w:val="Heading 1 Char"/>
    <w:link w:val="Heading1"/>
    <w:uiPriority w:val="9"/>
    <w:qFormat/>
    <w:rsid w:val="008a707c"/>
    <w:rPr>
      <w:rFonts w:ascii="Cambria" w:hAnsi="Cambria" w:eastAsia="Times New Roman" w:cs="Times New Roman"/>
      <w:b/>
      <w:bCs/>
      <w:kern w:val="2"/>
      <w:sz w:val="32"/>
      <w:szCs w:val="32"/>
    </w:rPr>
  </w:style>
  <w:style w:type="character" w:styleId="TitleChar" w:customStyle="1">
    <w:name w:val="Title Char"/>
    <w:link w:val="Title"/>
    <w:uiPriority w:val="10"/>
    <w:qFormat/>
    <w:rsid w:val="008a707c"/>
    <w:rPr>
      <w:rFonts w:ascii="Cambria" w:hAnsi="Cambria" w:eastAsia="Times New Roman" w:cs="Times New Roman"/>
      <w:b/>
      <w:bCs/>
      <w:kern w:val="2"/>
      <w:sz w:val="32"/>
      <w:szCs w:val="32"/>
    </w:rPr>
  </w:style>
  <w:style w:type="character" w:styleId="FooterChar" w:customStyle="1">
    <w:name w:val="Footer Char"/>
    <w:basedOn w:val="DefaultParagraphFont"/>
    <w:link w:val="Footer"/>
    <w:uiPriority w:val="99"/>
    <w:qFormat/>
    <w:rsid w:val="006454c4"/>
    <w:rPr>
      <w:sz w:val="24"/>
      <w:szCs w:val="24"/>
      <w:lang w:val="lv-LV" w:eastAsia="lv-LV"/>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rsid w:val="00a600f5"/>
    <w:pPr>
      <w:tabs>
        <w:tab w:val="clear" w:pos="720"/>
        <w:tab w:val="center" w:pos="4153" w:leader="none"/>
        <w:tab w:val="right" w:pos="8306" w:leader="none"/>
      </w:tabs>
    </w:pPr>
    <w:rPr/>
  </w:style>
  <w:style w:type="paragraph" w:styleId="Footer">
    <w:name w:val="footer"/>
    <w:basedOn w:val="Normal"/>
    <w:link w:val="FooterChar"/>
    <w:uiPriority w:val="99"/>
    <w:rsid w:val="00a600f5"/>
    <w:pPr>
      <w:tabs>
        <w:tab w:val="clear" w:pos="720"/>
        <w:tab w:val="center" w:pos="4153" w:leader="none"/>
        <w:tab w:val="right" w:pos="8306" w:leader="none"/>
      </w:tabs>
    </w:pPr>
    <w:rPr/>
  </w:style>
  <w:style w:type="paragraph" w:styleId="BalloonText">
    <w:name w:val="Balloon Text"/>
    <w:basedOn w:val="Normal"/>
    <w:semiHidden/>
    <w:qFormat/>
    <w:rsid w:val="00e474db"/>
    <w:pPr/>
    <w:rPr>
      <w:rFonts w:ascii="Tahoma" w:hAnsi="Tahoma" w:cs="Tahoma"/>
      <w:sz w:val="16"/>
      <w:szCs w:val="16"/>
    </w:rPr>
  </w:style>
  <w:style w:type="paragraph" w:styleId="Title">
    <w:name w:val="Title"/>
    <w:basedOn w:val="Normal"/>
    <w:next w:val="Normal"/>
    <w:link w:val="TitleChar"/>
    <w:uiPriority w:val="10"/>
    <w:qFormat/>
    <w:rsid w:val="008a707c"/>
    <w:pPr>
      <w:spacing w:before="240" w:after="60"/>
      <w:jc w:val="center"/>
      <w:outlineLvl w:val="0"/>
    </w:pPr>
    <w:rPr>
      <w:rFonts w:ascii="Cambria" w:hAnsi="Cambria"/>
      <w:b/>
      <w:bCs/>
      <w:kern w:val="2"/>
      <w:sz w:val="32"/>
      <w:szCs w:val="32"/>
      <w:lang w:val="x-none" w:eastAsia="x-none"/>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c33a5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chart" Target="charts/chart1.xml"/><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wmf"/><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image" Target="media/image9.wmf"/><Relationship Id="rId12" Type="http://schemas.openxmlformats.org/officeDocument/2006/relationships/image" Target="media/image10.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image" Target="media/image14.png"/><Relationship Id="rId17" Type="http://schemas.openxmlformats.org/officeDocument/2006/relationships/image" Target="media/image15.png"/><Relationship Id="rId18" Type="http://schemas.openxmlformats.org/officeDocument/2006/relationships/image" Target="media/image16.png"/><Relationship Id="rId19" Type="http://schemas.openxmlformats.org/officeDocument/2006/relationships/header" Target="header1.xml"/><Relationship Id="rId20" Type="http://schemas.openxmlformats.org/officeDocument/2006/relationships/header" Target="header2.xml"/><Relationship Id="rId21" Type="http://schemas.openxmlformats.org/officeDocument/2006/relationships/header" Target="header3.xml"/><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footer" Target="footer3.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7.png"/>
</Relationships>
</file>

<file path=word/_rels/header3.xml.rels><?xml version="1.0" encoding="UTF-8"?>
<Relationships xmlns="http://schemas.openxmlformats.org/package/2006/relationships"><Relationship Id="rId1" Type="http://schemas.openxmlformats.org/officeDocument/2006/relationships/image" Target="media/image17.png"/>
</Relationships>
</file>

<file path=word/charts/chart1.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lineChart>
        <c:grouping val="standard"/>
        <c:varyColors val="0"/>
        <c:ser>
          <c:idx val="0"/>
          <c:order val="0"/>
          <c:tx>
            <c:strRef>
              <c:f>label 0</c:f>
              <c:strCache>
                <c:ptCount val="1"/>
                <c:pt idx="0">
                  <c:v>2025</c:v>
                </c:pt>
              </c:strCache>
            </c:strRef>
          </c:tx>
          <c:spPr>
            <a:solidFill>
              <a:srgbClr val="156082"/>
            </a:solidFill>
            <a:ln w="19080">
              <a:solidFill>
                <a:srgbClr val="156082"/>
              </a:solidFill>
              <a:round/>
            </a:ln>
          </c:spPr>
          <c:dLbls>
            <c:txPr>
              <a:bodyPr wrap="square"/>
              <a:lstStyle/>
              <a:p>
                <a:pPr>
                  <a:defRPr b="0" sz="1000" strike="noStrike" u="none">
                    <a:solidFill>
                      <a:srgbClr val="000000"/>
                    </a:solidFill>
                    <a:uFillTx/>
                    <a:latin typeface="Calibri"/>
                    <a:ea typeface="Calibri"/>
                  </a:defRPr>
                </a:pPr>
              </a:p>
            </c:txPr>
            <c:dLblPos val="r"/>
            <c:showLegendKey val="0"/>
            <c:showVal val="0"/>
            <c:showCatName val="0"/>
            <c:showSerName val="0"/>
            <c:showPercent val="0"/>
            <c:separator>; </c:separator>
            <c:showLeaderLines val="1"/>
            <c:leaderLines>
              <c:spPr>
                <a:ln w="1908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0</c:f>
              <c:numCache>
                <c:formatCode>General</c:formatCode>
                <c:ptCount val="12"/>
                <c:pt idx="0">
                  <c:v>1437</c:v>
                </c:pt>
                <c:pt idx="1">
                  <c:v>1488</c:v>
                </c:pt>
                <c:pt idx="2">
                  <c:v>1610</c:v>
                </c:pt>
                <c:pt idx="3">
                  <c:v>1603</c:v>
                </c:pt>
                <c:pt idx="4">
                  <c:v>1625</c:v>
                </c:pt>
                <c:pt idx="5">
                  <c:v>1453</c:v>
                </c:pt>
                <c:pt idx="6">
                  <c:v>1450</c:v>
                </c:pt>
                <c:pt idx="7">
                  <c:v>1380</c:v>
                </c:pt>
                <c:pt idx="8">
                  <c:v>1482</c:v>
                </c:pt>
                <c:pt idx="9">
                  <c:v>1237</c:v>
                </c:pt>
                <c:pt idx="10">
                  <c:v>1143</c:v>
                </c:pt>
                <c:pt idx="11">
                  <c:v>1036</c:v>
                </c:pt>
              </c:numCache>
            </c:numRef>
          </c:val>
          <c:smooth val="0"/>
        </c:ser>
        <c:ser>
          <c:idx val="1"/>
          <c:order val="1"/>
          <c:tx>
            <c:strRef>
              <c:f>label 1</c:f>
              <c:strCache>
                <c:ptCount val="1"/>
                <c:pt idx="0">
                  <c:v>2026</c:v>
                </c:pt>
              </c:strCache>
            </c:strRef>
          </c:tx>
          <c:spPr>
            <a:solidFill>
              <a:srgbClr val="c04f15"/>
            </a:solidFill>
            <a:ln w="19080">
              <a:solidFill>
                <a:srgbClr val="c04f15"/>
              </a:solidFill>
              <a:round/>
            </a:ln>
          </c:spPr>
          <c:dLbls>
            <c:txPr>
              <a:bodyPr wrap="square"/>
              <a:lstStyle/>
              <a:p>
                <a:pPr>
                  <a:defRPr b="0" sz="1000" strike="noStrike" u="none">
                    <a:solidFill>
                      <a:srgbClr val="000000"/>
                    </a:solidFill>
                    <a:uFillTx/>
                    <a:latin typeface="Calibri"/>
                    <a:ea typeface="Calibri"/>
                  </a:defRPr>
                </a:pPr>
              </a:p>
            </c:txPr>
            <c:dLblPos val="r"/>
            <c:showLegendKey val="0"/>
            <c:showVal val="0"/>
            <c:showCatName val="0"/>
            <c:showSerName val="0"/>
            <c:showPercent val="0"/>
            <c:separator>; </c:separator>
            <c:showLeaderLines val="1"/>
            <c:leaderLines>
              <c:spPr>
                <a:ln w="19080">
                  <a:solidFill>
                    <a:srgbClr val="000000"/>
                  </a:solidFill>
                </a:ln>
              </c:spPr>
            </c:leaderLines>
            <c:extLst>
              <c:ext xmlns:c15="http://schemas.microsoft.com/office/drawing/2012/chart" uri="{CE6537A1-D6FC-4f65-9D91-7224C49458BB}">
                <c15:showLeaderLines val="1"/>
              </c:ext>
            </c:extLst>
          </c:dLbls>
          <c:cat>
            <c:strRef>
              <c:f>categories</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1</c:f>
              <c:numCache>
                <c:formatCode>General</c:formatCode>
                <c:ptCount val="12"/>
                <c:pt idx="0">
                  <c:v>991</c:v>
                </c:pt>
                <c:pt idx="1">
                  <c:v>1002</c:v>
                </c:pt>
                <c:pt idx="2">
                  <c:v>1046</c:v>
                </c:pt>
                <c:pt idx="3">
                  <c:v>1117</c:v>
                </c:pt>
                <c:pt idx="4">
                  <c:v>1145</c:v>
                </c:pt>
                <c:pt idx="5">
                  <c:v>1118</c:v>
                </c:pt>
                <c:pt idx="6">
                  <c:v>1180</c:v>
                </c:pt>
                <c:pt idx="7">
                  <c:v>1136</c:v>
                </c:pt>
              </c:numCache>
            </c:numRef>
          </c:val>
          <c:smooth val="0"/>
        </c:ser>
        <c:hiLowLines>
          <c:spPr>
            <a:ln w="0">
              <a:noFill/>
            </a:ln>
          </c:spPr>
        </c:hiLowLines>
        <c:marker val="1"/>
        <c:axId val="54203000"/>
        <c:axId val="35062997"/>
      </c:lineChart>
      <c:catAx>
        <c:axId val="54203000"/>
        <c:scaling>
          <c:orientation val="minMax"/>
        </c:scaling>
        <c:delete val="0"/>
        <c:axPos val="b"/>
        <c:numFmt formatCode="General" sourceLinked="0"/>
        <c:majorTickMark val="none"/>
        <c:minorTickMark val="none"/>
        <c:tickLblPos val="nextTo"/>
        <c:spPr>
          <a:ln w="6480">
            <a:solidFill>
              <a:srgbClr val="8b8b8b"/>
            </a:solidFill>
            <a:round/>
          </a:ln>
        </c:spPr>
        <c:txPr>
          <a:bodyPr rot="-2700000"/>
          <a:lstStyle/>
          <a:p>
            <a:pPr>
              <a:defRPr b="0" sz="950" strike="noStrike" u="none">
                <a:solidFill>
                  <a:srgbClr val="000000"/>
                </a:solidFill>
                <a:uFillTx/>
                <a:latin typeface="Arial"/>
                <a:ea typeface="Arial"/>
              </a:defRPr>
            </a:pPr>
          </a:p>
        </c:txPr>
        <c:crossAx val="35062997"/>
        <c:crosses val="autoZero"/>
        <c:auto val="1"/>
        <c:lblAlgn val="ctr"/>
        <c:lblOffset val="100"/>
        <c:noMultiLvlLbl val="0"/>
      </c:catAx>
      <c:valAx>
        <c:axId val="35062997"/>
        <c:scaling>
          <c:orientation val="minMax"/>
          <c:min val="700"/>
        </c:scaling>
        <c:delete val="0"/>
        <c:axPos val="l"/>
        <c:majorGridlines>
          <c:spPr>
            <a:ln w="6480">
              <a:solidFill>
                <a:srgbClr val="8b8b8b"/>
              </a:solidFill>
              <a:round/>
            </a:ln>
          </c:spPr>
        </c:majorGridlines>
        <c:title>
          <c:tx>
            <c:rich>
              <a:bodyPr rot="-5400000"/>
              <a:lstStyle/>
              <a:p>
                <a:pPr>
                  <a:defRPr b="0" sz="1300" strike="noStrike" u="none">
                    <a:uFillTx/>
                    <a:latin typeface="Arial"/>
                  </a:defRPr>
                </a:pPr>
                <a:r>
                  <a:rPr b="1" lang="en-US" sz="1000" strike="noStrike" u="none">
                    <a:solidFill>
                      <a:srgbClr val="000000"/>
                    </a:solidFill>
                    <a:uFillTx/>
                    <a:latin typeface="Calibri"/>
                    <a:ea typeface="Calibri"/>
                  </a:rPr>
                  <a:t>Piedāvājumu skaits</a:t>
                </a:r>
              </a:p>
            </c:rich>
          </c:tx>
          <c:overlay val="0"/>
          <c:spPr>
            <a:noFill/>
            <a:ln w="0">
              <a:noFill/>
            </a:ln>
          </c:spPr>
        </c:title>
        <c:numFmt formatCode="#,##0" sourceLinked="0"/>
        <c:majorTickMark val="none"/>
        <c:minorTickMark val="none"/>
        <c:tickLblPos val="nextTo"/>
        <c:spPr>
          <a:ln w="6480">
            <a:solidFill>
              <a:srgbClr val="8b8b8b"/>
            </a:solidFill>
            <a:round/>
          </a:ln>
        </c:spPr>
        <c:txPr>
          <a:bodyPr/>
          <a:lstStyle/>
          <a:p>
            <a:pPr>
              <a:defRPr b="0" sz="1000" strike="noStrike" u="none">
                <a:solidFill>
                  <a:srgbClr val="000000"/>
                </a:solidFill>
                <a:uFillTx/>
                <a:latin typeface="Calibri"/>
                <a:ea typeface="Calibri"/>
              </a:defRPr>
            </a:pPr>
          </a:p>
        </c:txPr>
        <c:crossAx val="54203000"/>
        <c:crosses val="autoZero"/>
        <c:crossBetween val="between"/>
      </c:valAx>
      <c:spPr>
        <a:noFill/>
        <a:ln w="0">
          <a:noFill/>
        </a:ln>
      </c:spPr>
    </c:plotArea>
    <c:legend>
      <c:legendPos val="r"/>
      <c:layout>
        <c:manualLayout>
          <c:xMode val="edge"/>
          <c:yMode val="edge"/>
          <c:x val="0.886375"/>
          <c:y val="0.333333333333333"/>
          <c:w val="0.100131258203638"/>
          <c:h val="0.201244582731415"/>
        </c:manualLayout>
      </c:layout>
      <c:overlay val="0"/>
      <c:spPr>
        <a:noFill/>
        <a:ln w="0">
          <a:noFill/>
        </a:ln>
      </c:spPr>
      <c:txPr>
        <a:bodyPr/>
        <a:lstStyle/>
        <a:p>
          <a:pPr>
            <a:defRPr b="0" sz="715" strike="noStrike" u="none">
              <a:solidFill>
                <a:srgbClr val="000000"/>
              </a:solidFill>
              <a:uFillTx/>
              <a:latin typeface="Calibri"/>
              <a:ea typeface="Calibri"/>
            </a:defRPr>
          </a:pPr>
        </a:p>
      </c:txPr>
    </c:legend>
    <c:plotVisOnly val="1"/>
    <c:dispBlanksAs val="gap"/>
  </c:chart>
  <c:spPr>
    <a:solidFill>
      <a:srgbClr val="ffffff"/>
    </a:solidFill>
    <a:ln w="9360">
      <a:solidFill>
        <a:srgbClr val="d9d9d9"/>
      </a:solidFill>
      <a:round/>
    </a:ln>
  </c:spPr>
</c:chartSpace>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ACCC-1CE1-4E91-A2BF-4432C1198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Application>LibreOffice/24.8.6.2$Linux_X86_64 LibreOffice_project/480$Build-2</Application>
  <AppVersion>15.0000</AppVersion>
  <Pages>9</Pages>
  <Words>948</Words>
  <Characters>5881</Characters>
  <CharactersWithSpaces>6759</CharactersWithSpaces>
  <Paragraphs>77</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2026-09-07T10:31:00Z</dcterms:created>
  <dc:creator>Jānis Dzedulis</dc:creator>
  <dc:description/>
  <dc:language>en-US</dc:language>
  <cp:lastModifiedBy/>
  <cp:lastPrinted>2015-02-04T12:58:00Z</cp:lastPrinted>
  <dcterms:modified xsi:type="dcterms:W3CDTF">2026-09-21T12:21:51Z</dcterms:modified>
  <cp:revision>6</cp:revision>
  <dc:subject/>
  <dc:title>Galvenie secinājumi:</dc:title>
</cp:coreProperties>
</file>

<file path=docProps/custom.xml><?xml version="1.0" encoding="utf-8"?>
<Properties xmlns="http://schemas.openxmlformats.org/officeDocument/2006/custom-properties" xmlns:vt="http://schemas.openxmlformats.org/officeDocument/2006/docPropsVTypes"/>
</file>