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8.png" ContentType="image/png"/>
  <Override PartName="/word/media/image15.png" ContentType="image/png"/>
  <Override PartName="/word/media/image1.png" ContentType="image/png"/>
  <Override PartName="/word/media/image14.png" ContentType="image/png"/>
  <Override PartName="/word/media/image5.png" ContentType="image/png"/>
  <Override PartName="/word/media/image6.wmf" ContentType="image/x-wmf"/>
  <Override PartName="/word/media/image10.wmf" ContentType="image/x-wmf"/>
  <Override PartName="/word/media/image7.png" ContentType="image/png"/>
  <Override PartName="/word/media/image16.png" ContentType="image/png"/>
  <Override PartName="/word/media/image11.png" ContentType="image/png"/>
  <Override PartName="/word/media/image2.png" ContentType="image/png"/>
  <Override PartName="/word/media/image17.png" ContentType="image/png"/>
  <Override PartName="/word/media/image8.png" ContentType="image/png"/>
  <Override PartName="/word/media/image1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25"/>
        <w:jc w:val="center"/>
        <w:rPr>
          <w:rFonts w:ascii="Arial" w:hAnsi="Arial" w:cs="Arial"/>
          <w:b/>
          <w:color w:themeColor="text1" w:val="000000"/>
        </w:rPr>
      </w:pPr>
      <w:r>
        <w:rPr>
          <w:rFonts w:cs="Arial" w:ascii="Arial" w:hAnsi="Arial"/>
          <w:b/>
          <w:color w:themeColor="text1" w:val="000000"/>
        </w:rPr>
        <w:t>Sērijveida dzīvokļi, 2026. gada 1. maijs</w:t>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accent1" w:val="156082"/>
          <w:sz w:val="20"/>
          <w:szCs w:val="20"/>
        </w:rPr>
      </w:pPr>
      <w:bookmarkStart w:id="0" w:name="_Hlk144912683"/>
      <w:r>
        <w:rPr>
          <w:rFonts w:cs="Arial" w:ascii="Arial" w:hAnsi="Arial"/>
          <w:b/>
          <w:color w:themeColor="text1" w:val="000000"/>
          <w:sz w:val="20"/>
          <w:szCs w:val="20"/>
        </w:rPr>
        <w:t xml:space="preserve">2026. gada aprīlī Rīgas mikrorajonos sērijveida dzīvokļu cenās bija vērojams cenu palielinājums – mēneša laikā sērijveida dzīvokļu vidējā </w:t>
      </w:r>
      <w:r>
        <w:rPr>
          <w:rFonts w:cs="Arial" w:ascii="Arial" w:hAnsi="Arial"/>
          <w:b/>
          <w:sz w:val="20"/>
          <w:szCs w:val="20"/>
        </w:rPr>
        <w:t xml:space="preserve">cena palielinājās par 2,1 %, </w:t>
      </w:r>
      <w:r>
        <w:rPr>
          <w:rFonts w:cs="Arial" w:ascii="Arial" w:hAnsi="Arial"/>
          <w:b/>
          <w:sz w:val="20"/>
          <w:szCs w:val="20"/>
        </w:rPr>
        <w:t xml:space="preserve">pieaugot līdz </w:t>
      </w:r>
      <w:r>
        <w:rPr>
          <w:rFonts w:cs="Arial" w:ascii="Arial" w:hAnsi="Arial"/>
          <w:b/>
          <w:sz w:val="20"/>
          <w:szCs w:val="20"/>
        </w:rPr>
        <w:t>947 EUR/m².</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cenu izmaiņas kopš 2026. gada sākuma, %</w:t>
      </w:r>
    </w:p>
    <w:p>
      <w:pPr>
        <w:pStyle w:val="Normal"/>
        <w:ind w:right="425"/>
        <w:jc w:val="both"/>
        <w:rPr>
          <w:rFonts w:ascii="Arial" w:hAnsi="Arial" w:cs="Arial"/>
          <w:b/>
          <w:sz w:val="20"/>
          <w:szCs w:val="20"/>
        </w:rPr>
      </w:pPr>
      <w:r>
        <w:rPr/>
      </w:r>
    </w:p>
    <w:p>
      <w:pPr>
        <w:pStyle w:val="Normal"/>
        <w:ind w:right="425"/>
        <w:jc w:val="both"/>
        <w:rPr>
          <w:rFonts w:ascii="Arial" w:hAnsi="Arial" w:cs="Arial"/>
          <w:b/>
          <w:sz w:val="20"/>
          <w:szCs w:val="20"/>
        </w:rPr>
      </w:pPr>
      <w:r>
        <w:rPr/>
        <w:drawing>
          <wp:inline distT="0" distB="0" distL="0" distR="0">
            <wp:extent cx="6249035" cy="1489075"/>
            <wp:effectExtent l="0" t="0" r="0" b="0"/>
            <wp:docPr id="1" name="Attēls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3" descr=""/>
                    <pic:cNvPicPr>
                      <a:picLocks noChangeAspect="1" noChangeArrowheads="1"/>
                    </pic:cNvPicPr>
                  </pic:nvPicPr>
                  <pic:blipFill>
                    <a:blip r:embed="rId2"/>
                    <a:stretch>
                      <a:fillRect/>
                    </a:stretch>
                  </pic:blipFill>
                  <pic:spPr bwMode="auto">
                    <a:xfrm>
                      <a:off x="0" y="0"/>
                      <a:ext cx="6249035" cy="148907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Sērijveida dzīvokļu vidējā cena pirmo reizi pārsnie</w:t>
      </w:r>
      <w:r>
        <w:rPr>
          <w:rFonts w:cs="Arial" w:ascii="Arial" w:hAnsi="Arial"/>
          <w:sz w:val="20"/>
          <w:szCs w:val="20"/>
        </w:rPr>
        <w:t>dza</w:t>
      </w:r>
      <w:r>
        <w:rPr>
          <w:rFonts w:cs="Arial" w:ascii="Arial" w:hAnsi="Arial"/>
          <w:sz w:val="20"/>
          <w:szCs w:val="20"/>
        </w:rPr>
        <w:t xml:space="preserve"> 2009. gada janvāra rādītāju (934 EU</w:t>
      </w:r>
      <w:r>
        <w:rPr>
          <w:rFonts w:cs="Arial" w:ascii="Arial" w:hAnsi="Arial"/>
          <w:b w:val="false"/>
          <w:bCs w:val="false"/>
          <w:sz w:val="20"/>
          <w:szCs w:val="20"/>
        </w:rPr>
        <w:t>R/</w:t>
      </w:r>
      <w:r>
        <w:rPr>
          <w:rFonts w:cs="Arial" w:ascii="Arial" w:hAnsi="Arial"/>
          <w:bCs/>
          <w:sz w:val="20"/>
          <w:szCs w:val="20"/>
        </w:rPr>
        <w:t>m²).</w:t>
      </w:r>
      <w:r>
        <w:rPr>
          <w:rFonts w:cs="Arial" w:ascii="Arial" w:hAnsi="Arial"/>
          <w:sz w:val="20"/>
          <w:szCs w:val="20"/>
        </w:rPr>
        <w:t xml:space="preserve"> Aprīlī konstatētais vidējās cenas pieaugums ir augstākais mēneša pieaugums pēdējo gadu laikā. Kopumā dzīvokļu cenas kopš 2026. gada sākuma pieaug</w:t>
      </w:r>
      <w:r>
        <w:rPr>
          <w:rFonts w:cs="Arial" w:ascii="Arial" w:hAnsi="Arial"/>
          <w:sz w:val="20"/>
          <w:szCs w:val="20"/>
        </w:rPr>
        <w:t>a</w:t>
      </w:r>
      <w:r>
        <w:rPr>
          <w:rFonts w:cs="Arial" w:ascii="Arial" w:hAnsi="Arial"/>
          <w:sz w:val="20"/>
          <w:szCs w:val="20"/>
        </w:rPr>
        <w:t xml:space="preserve"> par vidēji 7 %. Cenu pieauguma iemesls joprojām </w:t>
      </w:r>
      <w:r>
        <w:rPr>
          <w:rFonts w:cs="Arial" w:ascii="Arial" w:hAnsi="Arial"/>
          <w:sz w:val="20"/>
          <w:szCs w:val="20"/>
        </w:rPr>
        <w:t xml:space="preserve">bija </w:t>
      </w:r>
      <w:r>
        <w:rPr>
          <w:rFonts w:cs="Arial" w:ascii="Arial" w:hAnsi="Arial"/>
          <w:sz w:val="20"/>
          <w:szCs w:val="20"/>
        </w:rPr>
        <w:t>mazais dzīvokļu piedāvājums visos Rīgas mikrorajonos. Ta</w:t>
      </w:r>
      <w:r>
        <w:rPr>
          <w:rFonts w:cs="Arial" w:ascii="Arial" w:hAnsi="Arial"/>
          <w:sz w:val="20"/>
          <w:szCs w:val="20"/>
        </w:rPr>
        <w:t>jā</w:t>
      </w:r>
      <w:r>
        <w:rPr>
          <w:rFonts w:cs="Arial" w:ascii="Arial" w:hAnsi="Arial"/>
          <w:sz w:val="20"/>
          <w:szCs w:val="20"/>
        </w:rPr>
        <w:t xml:space="preserve"> pašā laikā dzīvokļu piedāvājums aprīlī turpināja palielināties.</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bookmarkStart w:id="1" w:name="_Hlk62388575"/>
      <w:bookmarkStart w:id="2" w:name="_Hlk62388575"/>
    </w:p>
    <w:p>
      <w:pPr>
        <w:pStyle w:val="Normal"/>
        <w:ind w:right="425"/>
        <w:jc w:val="both"/>
        <w:rPr>
          <w:rFonts w:ascii="Arial" w:hAnsi="Arial" w:cs="Arial"/>
          <w:sz w:val="20"/>
          <w:szCs w:val="20"/>
        </w:rPr>
      </w:pPr>
      <w:r>
        <w:rPr>
          <w:rFonts w:cs="Arial" w:ascii="Arial" w:hAnsi="Arial"/>
          <w:sz w:val="20"/>
          <w:szCs w:val="20"/>
        </w:rPr>
        <w:t>Dzīvokļu piedāvājumu skaits palielinā</w:t>
      </w:r>
      <w:r>
        <w:rPr>
          <w:rFonts w:cs="Arial" w:ascii="Arial" w:hAnsi="Arial"/>
          <w:sz w:val="20"/>
          <w:szCs w:val="20"/>
        </w:rPr>
        <w:t>jā</w:t>
      </w:r>
      <w:r>
        <w:rPr>
          <w:rFonts w:cs="Arial" w:ascii="Arial" w:hAnsi="Arial"/>
          <w:sz w:val="20"/>
          <w:szCs w:val="20"/>
        </w:rPr>
        <w:t xml:space="preserve">s kopš gada sākuma, </w:t>
      </w:r>
      <w:r>
        <w:rPr>
          <w:rFonts w:cs="Arial" w:ascii="Arial" w:hAnsi="Arial"/>
          <w:sz w:val="20"/>
          <w:szCs w:val="20"/>
        </w:rPr>
        <w:t>t</w:t>
      </w:r>
      <w:r>
        <w:rPr>
          <w:rFonts w:cs="Arial" w:ascii="Arial" w:hAnsi="Arial"/>
          <w:sz w:val="20"/>
          <w:szCs w:val="20"/>
        </w:rPr>
        <w:t xml:space="preserve">omēr tas joprojām </w:t>
      </w:r>
      <w:r>
        <w:rPr>
          <w:rFonts w:cs="Arial" w:ascii="Arial" w:hAnsi="Arial"/>
          <w:sz w:val="20"/>
          <w:szCs w:val="20"/>
        </w:rPr>
        <w:t>bija</w:t>
      </w:r>
      <w:r>
        <w:rPr>
          <w:rFonts w:cs="Arial" w:ascii="Arial" w:hAnsi="Arial"/>
          <w:sz w:val="20"/>
          <w:szCs w:val="20"/>
        </w:rPr>
        <w:t xml:space="preserve"> būtiski zemāks </w:t>
      </w:r>
      <w:r>
        <w:rPr>
          <w:rFonts w:cs="Arial" w:ascii="Arial" w:hAnsi="Arial"/>
          <w:sz w:val="20"/>
          <w:szCs w:val="20"/>
        </w:rPr>
        <w:t>ne</w:t>
      </w:r>
      <w:r>
        <w:rPr>
          <w:rFonts w:cs="Arial" w:ascii="Arial" w:hAnsi="Arial"/>
          <w:sz w:val="20"/>
          <w:szCs w:val="20"/>
        </w:rPr>
        <w:t xml:space="preserve">kā 2025. gada aprīlī, kad Rīgas lielākajos mikrorajonos piedāvājumā bija ap 1600 dzīvokļiem. </w:t>
      </w:r>
      <w:bookmarkEnd w:id="2"/>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Rīgas lielāko mikrorajonu dzīvokļu piedāvājuma dinamika</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5899785" cy="277939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5899785" cy="277939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Rīgas lielākajos mikrorajonos kopš 2026. gada sākuma dzīvokļu cenas palielinājās par 4-9 %. Lielākās cenu izmaiņas </w:t>
      </w:r>
      <w:r>
        <w:rPr>
          <w:rFonts w:cs="Arial" w:ascii="Arial" w:hAnsi="Arial"/>
          <w:sz w:val="20"/>
          <w:szCs w:val="20"/>
        </w:rPr>
        <w:t xml:space="preserve">tika </w:t>
      </w:r>
      <w:r>
        <w:rPr>
          <w:rFonts w:cs="Arial" w:ascii="Arial" w:hAnsi="Arial"/>
          <w:sz w:val="20"/>
          <w:szCs w:val="20"/>
        </w:rPr>
        <w:t>novēro</w:t>
      </w:r>
      <w:r>
        <w:rPr>
          <w:rFonts w:cs="Arial" w:ascii="Arial" w:hAnsi="Arial"/>
          <w:sz w:val="20"/>
          <w:szCs w:val="20"/>
        </w:rPr>
        <w:t>tas</w:t>
      </w:r>
      <w:r>
        <w:rPr>
          <w:rFonts w:cs="Arial" w:ascii="Arial" w:hAnsi="Arial"/>
          <w:sz w:val="20"/>
          <w:szCs w:val="20"/>
        </w:rPr>
        <w:t xml:space="preserve"> Imantā, kur tās šogad palielinājās par 9 %. Arī Āgenskalnā, Purvciemā un Pļavniekos šogad sērijveida dzīvokļu cenu pieaugums </w:t>
      </w:r>
      <w:r>
        <w:rPr>
          <w:rFonts w:cs="Arial" w:ascii="Arial" w:hAnsi="Arial"/>
          <w:sz w:val="20"/>
          <w:szCs w:val="20"/>
        </w:rPr>
        <w:t xml:space="preserve">bija </w:t>
      </w:r>
      <w:r>
        <w:rPr>
          <w:rFonts w:cs="Arial" w:ascii="Arial" w:hAnsi="Arial"/>
          <w:sz w:val="20"/>
          <w:szCs w:val="20"/>
        </w:rPr>
        <w:t xml:space="preserve">salīdzinoši lielāks </w:t>
      </w:r>
      <w:r>
        <w:rPr>
          <w:rFonts w:cs="Arial" w:ascii="Arial" w:hAnsi="Arial"/>
          <w:sz w:val="20"/>
          <w:szCs w:val="20"/>
        </w:rPr>
        <w:t>ne</w:t>
      </w:r>
      <w:r>
        <w:rPr>
          <w:rFonts w:cs="Arial" w:ascii="Arial" w:hAnsi="Arial"/>
          <w:sz w:val="20"/>
          <w:szCs w:val="20"/>
        </w:rPr>
        <w:t>kā citos mikrorajonos – cenas vidēji palielinājās par 8 %. Pārējos Rīgas mikrorajonos cenu izmaiņas šogad nepārsniedz</w:t>
      </w:r>
      <w:r>
        <w:rPr>
          <w:rFonts w:cs="Arial" w:ascii="Arial" w:hAnsi="Arial"/>
          <w:sz w:val="20"/>
          <w:szCs w:val="20"/>
        </w:rPr>
        <w:t>a</w:t>
      </w:r>
      <w:r>
        <w:rPr>
          <w:rFonts w:cs="Arial" w:ascii="Arial" w:hAnsi="Arial"/>
          <w:sz w:val="20"/>
          <w:szCs w:val="20"/>
        </w:rPr>
        <w:t xml:space="preserve"> 7 %. Vis</w:t>
      </w:r>
      <w:r>
        <w:rPr>
          <w:rFonts w:cs="Arial" w:ascii="Arial" w:hAnsi="Arial"/>
          <w:sz w:val="20"/>
          <w:szCs w:val="20"/>
        </w:rPr>
        <w:t xml:space="preserve">zemākās </w:t>
      </w:r>
      <w:r>
        <w:rPr>
          <w:rFonts w:cs="Arial" w:ascii="Arial" w:hAnsi="Arial"/>
          <w:sz w:val="20"/>
          <w:szCs w:val="20"/>
        </w:rPr>
        <w:t xml:space="preserve">cenu izmaiņas </w:t>
      </w:r>
      <w:r>
        <w:rPr>
          <w:rFonts w:cs="Arial" w:ascii="Arial" w:hAnsi="Arial"/>
          <w:sz w:val="20"/>
          <w:szCs w:val="20"/>
        </w:rPr>
        <w:t xml:space="preserve">bija </w:t>
      </w:r>
      <w:r>
        <w:rPr>
          <w:rFonts w:cs="Arial" w:ascii="Arial" w:hAnsi="Arial"/>
          <w:sz w:val="20"/>
          <w:szCs w:val="20"/>
        </w:rPr>
        <w:t>vērojamas cenu ziņā lētākajā mikrorajonā – Bolderājā.</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sz w:val="20"/>
          <w:szCs w:val="20"/>
        </w:rPr>
      </w:pPr>
      <w:r>
        <w:rPr/>
      </w:r>
      <w:r>
        <w:br w:type="page"/>
      </w:r>
    </w:p>
    <w:p>
      <w:pPr>
        <w:pStyle w:val="Normal"/>
        <w:ind w:right="425"/>
        <w:jc w:val="both"/>
        <w:rPr>
          <w:rFonts w:ascii="Arial" w:hAnsi="Arial" w:cs="Arial"/>
          <w:b/>
          <w:sz w:val="20"/>
          <w:szCs w:val="20"/>
        </w:rPr>
      </w:pPr>
      <w:r>
        <w:rPr>
          <w:rFonts w:cs="Arial" w:ascii="Arial" w:hAnsi="Arial"/>
          <w:b/>
          <w:sz w:val="20"/>
          <w:szCs w:val="20"/>
        </w:rPr>
        <w:t>Dzīvokļu cenu izmaiņas Rīgas lielākajos mikrorajonos kopš 2026. gada 1. janvāra, %</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163310" cy="2597150"/>
            <wp:effectExtent l="0" t="0" r="0" b="0"/>
            <wp:docPr id="3" name="Attēls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2" descr=""/>
                    <pic:cNvPicPr>
                      <a:picLocks noChangeAspect="1" noChangeArrowheads="1"/>
                    </pic:cNvPicPr>
                  </pic:nvPicPr>
                  <pic:blipFill>
                    <a:blip r:embed="rId4"/>
                    <a:stretch>
                      <a:fillRect/>
                    </a:stretch>
                  </pic:blipFill>
                  <pic:spPr bwMode="auto">
                    <a:xfrm>
                      <a:off x="0" y="0"/>
                      <a:ext cx="6163310" cy="259715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bookmarkStart w:id="3" w:name="OLE_LINK6"/>
      <w:bookmarkStart w:id="4" w:name="OLE_LINK5"/>
      <w:bookmarkStart w:id="5" w:name="OLE_LINK6"/>
      <w:bookmarkStart w:id="6" w:name="OLE_LINK5"/>
    </w:p>
    <w:p>
      <w:pPr>
        <w:pStyle w:val="Normal"/>
        <w:ind w:right="425"/>
        <w:jc w:val="both"/>
        <w:rPr>
          <w:color w:val="808080"/>
        </w:rPr>
      </w:pPr>
      <w:bookmarkStart w:id="7" w:name="OLE_LINK6"/>
      <w:bookmarkStart w:id="8" w:name="OLE_LINK5"/>
      <w:r>
        <w:rPr>
          <w:rFonts w:cs="Arial" w:ascii="Arial" w:hAnsi="Arial"/>
          <w:iCs/>
          <w:color w:val="808080"/>
          <w:sz w:val="16"/>
          <w:szCs w:val="16"/>
        </w:rPr>
        <w:t>Avots: ARCO REAL ESTATE</w:t>
      </w:r>
      <w:bookmarkEnd w:id="7"/>
      <w:bookmarkEnd w:id="8"/>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Aprīlī sērijveida dzīvokļu vidējā cena palielinājās līdz 947 EUR/m². Cenas bija par vidēji 42 % zemākas nekā 2007. gada 1. jūlijā, kad neremontēta sērijveida dzīvokļa vidējā cena sasniedza visu laiku augstāko atzīmi – 1 620 EUR/m².</w:t>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t>Rīgas lielāko mikrorajonu sērijveida dzīvokļu vidējās cenas dinamika, EUR/m²</w:t>
      </w:r>
    </w:p>
    <w:p>
      <w:pPr>
        <w:pStyle w:val="Normal"/>
        <w:tabs>
          <w:tab w:val="clear" w:pos="720"/>
          <w:tab w:val="left" w:pos="975" w:leader="none"/>
        </w:tabs>
        <w:ind w:right="425"/>
        <w:jc w:val="both"/>
        <w:rPr>
          <w:rFonts w:ascii="Arial" w:hAnsi="Arial" w:cs="Arial"/>
          <w:b/>
          <w:sz w:val="20"/>
          <w:szCs w:val="20"/>
        </w:rPr>
      </w:pPr>
      <w:r>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334125" cy="2670810"/>
            <wp:effectExtent l="0" t="0" r="0" b="0"/>
            <wp:docPr id="4" name="Attēls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11" descr=""/>
                    <pic:cNvPicPr>
                      <a:picLocks noChangeAspect="1" noChangeArrowheads="1"/>
                    </pic:cNvPicPr>
                  </pic:nvPicPr>
                  <pic:blipFill>
                    <a:blip r:embed="rId5"/>
                    <a:stretch>
                      <a:fillRect/>
                    </a:stretch>
                  </pic:blipFill>
                  <pic:spPr bwMode="auto">
                    <a:xfrm>
                      <a:off x="0" y="0"/>
                      <a:ext cx="6334125" cy="2670810"/>
                    </a:xfrm>
                    <a:prstGeom prst="rect">
                      <a:avLst/>
                    </a:prstGeom>
                    <a:noFill/>
                  </pic:spPr>
                </pic:pic>
              </a:graphicData>
            </a:graphic>
          </wp:inline>
        </w:drawing>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Rīgas mikrorajonu sērijveida dzīvokļu cenu izmaiņas, %</w:t>
      </w:r>
    </w:p>
    <w:p>
      <w:pPr>
        <w:pStyle w:val="Normal"/>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181725" cy="37858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6181725" cy="378587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bookmarkStart w:id="9" w:name="_Hlk144912683"/>
      <w:r>
        <w:rPr>
          <w:rFonts w:cs="Arial" w:ascii="Arial" w:hAnsi="Arial"/>
          <w:iCs/>
          <w:color w:val="808080"/>
          <w:sz w:val="16"/>
          <w:szCs w:val="16"/>
        </w:rPr>
        <w:t>Avots: ARCO REAL ESTATE</w:t>
      </w:r>
      <w:bookmarkEnd w:id="9"/>
    </w:p>
    <w:p>
      <w:pPr>
        <w:pStyle w:val="Normal"/>
        <w:tabs>
          <w:tab w:val="clear" w:pos="720"/>
          <w:tab w:val="left" w:pos="975" w:leader="none"/>
        </w:tabs>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Sērijveida dzīvokļu viena kvadrātmetra vidējā cena aprīlī palielinājās vienas istabas dzīvokļiem (+2,5 %), divu istabu dzīvokļiem (+2,2 %), trīs istabu dzīvokļiem (+2,1 %) un četru istabu dzīvokļiem (+1,1 %). Kopš šī gada sākuma visvairāk palielināj</w:t>
      </w:r>
      <w:r>
        <w:rPr>
          <w:rFonts w:cs="Arial" w:ascii="Arial" w:hAnsi="Arial"/>
          <w:sz w:val="20"/>
          <w:szCs w:val="20"/>
        </w:rPr>
        <w:t>ā</w:t>
      </w:r>
      <w:r>
        <w:rPr>
          <w:rFonts w:cs="Arial" w:ascii="Arial" w:hAnsi="Arial"/>
          <w:sz w:val="20"/>
          <w:szCs w:val="20"/>
        </w:rPr>
        <w:t>s divu istabu dzīvokļu cena (+7,7 %).</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rPr>
          <w:rFonts w:ascii="Arial" w:hAnsi="Arial" w:cs="Arial"/>
          <w:b/>
          <w:sz w:val="20"/>
          <w:szCs w:val="20"/>
        </w:rPr>
      </w:pPr>
      <w:r>
        <w:rPr>
          <w:rFonts w:cs="Arial" w:ascii="Arial" w:hAnsi="Arial"/>
          <w:b/>
          <w:sz w:val="20"/>
          <w:szCs w:val="20"/>
        </w:rPr>
        <w:t>Sērijveida dzīvokļu vidējās cenas Rīgas mikrorajonos dalījumā pēc istabu skaita, EUR/m²</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drawing>
          <wp:inline distT="0" distB="0" distL="0" distR="0">
            <wp:extent cx="5572125" cy="1809750"/>
            <wp:effectExtent l="0" t="0" r="0" b="0"/>
            <wp:docPr id="6" name="Attēls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14" descr=""/>
                    <pic:cNvPicPr>
                      <a:picLocks noChangeAspect="1" noChangeArrowheads="1"/>
                    </pic:cNvPicPr>
                  </pic:nvPicPr>
                  <pic:blipFill>
                    <a:blip r:embed="rId7"/>
                    <a:stretch>
                      <a:fillRect/>
                    </a:stretch>
                  </pic:blipFill>
                  <pic:spPr bwMode="auto">
                    <a:xfrm>
                      <a:off x="0" y="0"/>
                      <a:ext cx="5572125" cy="180975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Salīdzinot ar iepriekšējo mēnesi, aprīlī dzīvokļu piedāvājums Rīgā palielināj</w:t>
      </w:r>
      <w:r>
        <w:rPr>
          <w:rFonts w:cs="Arial" w:ascii="Arial" w:hAnsi="Arial"/>
          <w:sz w:val="20"/>
          <w:szCs w:val="20"/>
        </w:rPr>
        <w:t>ā</w:t>
      </w:r>
      <w:r>
        <w:rPr>
          <w:rFonts w:cs="Arial" w:ascii="Arial" w:hAnsi="Arial"/>
          <w:sz w:val="20"/>
          <w:szCs w:val="20"/>
        </w:rPr>
        <w:t xml:space="preserve">s par 4 %, </w:t>
      </w:r>
      <w:r>
        <w:rPr>
          <w:rFonts w:cs="Arial" w:ascii="Arial" w:hAnsi="Arial"/>
          <w:sz w:val="20"/>
          <w:szCs w:val="20"/>
        </w:rPr>
        <w:t xml:space="preserve">savukārt </w:t>
      </w:r>
      <w:r>
        <w:rPr>
          <w:rFonts w:cs="Arial" w:ascii="Arial" w:hAnsi="Arial"/>
          <w:sz w:val="20"/>
          <w:szCs w:val="20"/>
        </w:rPr>
        <w:t>“</w:t>
      </w:r>
      <w:r>
        <w:rPr>
          <w:rFonts w:cs="Arial" w:ascii="Arial" w:hAnsi="Arial"/>
          <w:iCs/>
          <w:sz w:val="20"/>
          <w:szCs w:val="20"/>
        </w:rPr>
        <w:t>ARCO REAL ESTATE”</w:t>
      </w:r>
      <w:r>
        <w:rPr>
          <w:rFonts w:cs="Arial" w:ascii="Arial" w:hAnsi="Arial"/>
          <w:sz w:val="20"/>
          <w:szCs w:val="20"/>
        </w:rPr>
        <w:t xml:space="preserve"> analizētajos Rīgas lielākajos mikrorajonos </w:t>
      </w:r>
      <w:r>
        <w:rPr>
          <w:rFonts w:cs="Arial" w:ascii="Arial" w:hAnsi="Arial"/>
          <w:sz w:val="20"/>
          <w:szCs w:val="20"/>
        </w:rPr>
        <w:t xml:space="preserve">tas </w:t>
      </w:r>
      <w:r>
        <w:rPr>
          <w:rFonts w:cs="Arial" w:ascii="Arial" w:hAnsi="Arial"/>
          <w:sz w:val="20"/>
          <w:szCs w:val="20"/>
        </w:rPr>
        <w:t>pieau</w:t>
      </w:r>
      <w:r>
        <w:rPr>
          <w:rFonts w:cs="Arial" w:ascii="Arial" w:hAnsi="Arial"/>
          <w:sz w:val="20"/>
          <w:szCs w:val="20"/>
        </w:rPr>
        <w:t>ga</w:t>
      </w:r>
      <w:r>
        <w:rPr>
          <w:rFonts w:cs="Arial" w:ascii="Arial" w:hAnsi="Arial"/>
          <w:sz w:val="20"/>
          <w:szCs w:val="20"/>
        </w:rPr>
        <w:t xml:space="preserve"> par 7 %. Salīdzinot ar 2025. gada aprīli, dzīvokļu piedāvājums kopumā </w:t>
      </w:r>
      <w:r>
        <w:rPr>
          <w:rFonts w:cs="Arial" w:ascii="Arial" w:hAnsi="Arial"/>
          <w:sz w:val="20"/>
          <w:szCs w:val="20"/>
        </w:rPr>
        <w:t>bija</w:t>
      </w:r>
      <w:r>
        <w:rPr>
          <w:rFonts w:cs="Arial" w:ascii="Arial" w:hAnsi="Arial"/>
          <w:sz w:val="20"/>
          <w:szCs w:val="20"/>
        </w:rPr>
        <w:t xml:space="preserve"> mazāks: kopējais dzīvokļu piedāvājumu skaits </w:t>
      </w:r>
      <w:r>
        <w:rPr>
          <w:rFonts w:cs="Arial" w:ascii="Arial" w:hAnsi="Arial"/>
          <w:sz w:val="20"/>
          <w:szCs w:val="20"/>
        </w:rPr>
        <w:t>bija mazāks</w:t>
      </w:r>
      <w:r>
        <w:rPr>
          <w:rFonts w:cs="Arial" w:ascii="Arial" w:hAnsi="Arial"/>
          <w:sz w:val="20"/>
          <w:szCs w:val="20"/>
        </w:rPr>
        <w:t xml:space="preserve"> par 22 %, bet lielāko mikrorajonu dzīvokļu piedāvājums </w:t>
      </w:r>
      <w:r>
        <w:rPr>
          <w:rFonts w:cs="Arial" w:ascii="Arial" w:hAnsi="Arial"/>
          <w:sz w:val="20"/>
          <w:szCs w:val="20"/>
        </w:rPr>
        <w:t xml:space="preserve">bija </w:t>
      </w:r>
      <w:r>
        <w:rPr>
          <w:rFonts w:cs="Arial" w:ascii="Arial" w:hAnsi="Arial"/>
          <w:sz w:val="20"/>
          <w:szCs w:val="20"/>
        </w:rPr>
        <w:t xml:space="preserve">par 30 % </w:t>
      </w:r>
      <w:r>
        <w:rPr>
          <w:rFonts w:cs="Arial" w:ascii="Arial" w:hAnsi="Arial"/>
          <w:sz w:val="20"/>
          <w:szCs w:val="20"/>
        </w:rPr>
        <w:t>mazāks</w:t>
      </w:r>
      <w:r>
        <w:rPr>
          <w:rFonts w:cs="Arial" w:ascii="Arial" w:hAnsi="Arial"/>
          <w:sz w:val="20"/>
          <w:szCs w:val="20"/>
        </w:rPr>
        <w:t>.</w:t>
      </w:r>
    </w:p>
    <w:p>
      <w:pPr>
        <w:pStyle w:val="Normal"/>
        <w:spacing w:before="0" w:after="0"/>
        <w:ind w:right="425"/>
        <w:jc w:val="both"/>
        <w:rPr>
          <w:rFonts w:ascii="Arial" w:hAnsi="Arial" w:cs="Arial"/>
          <w:b/>
          <w:sz w:val="20"/>
          <w:szCs w:val="20"/>
        </w:rPr>
      </w:pPr>
      <w:r>
        <w:rPr/>
      </w:r>
    </w:p>
    <w:p>
      <w:pPr>
        <w:pStyle w:val="Normal"/>
        <w:spacing w:before="0" w:after="0"/>
        <w:ind w:right="425"/>
        <w:jc w:val="both"/>
        <w:rPr>
          <w:rFonts w:ascii="Arial" w:hAnsi="Arial" w:cs="Arial"/>
          <w:b/>
          <w:sz w:val="20"/>
          <w:szCs w:val="20"/>
        </w:rPr>
      </w:pPr>
      <w:r>
        <w:rPr/>
      </w:r>
      <w:r>
        <w:br w:type="page"/>
      </w:r>
    </w:p>
    <w:p>
      <w:pPr>
        <w:pStyle w:val="Normal"/>
        <w:spacing w:before="0" w:after="0"/>
        <w:ind w:right="425"/>
        <w:jc w:val="both"/>
        <w:rPr>
          <w:rFonts w:ascii="Arial" w:hAnsi="Arial" w:cs="Arial"/>
          <w:b/>
          <w:sz w:val="20"/>
          <w:szCs w:val="20"/>
        </w:rPr>
      </w:pPr>
      <w:r>
        <w:rPr>
          <w:rFonts w:cs="Arial" w:ascii="Arial" w:hAnsi="Arial"/>
          <w:b/>
          <w:sz w:val="20"/>
          <w:szCs w:val="20"/>
        </w:rPr>
        <w:t>Dzīvokļu piedāvājuma dinamika Rīgā</w:t>
      </w:r>
    </w:p>
    <w:p>
      <w:pPr>
        <w:pStyle w:val="Normal"/>
        <w:spacing w:before="0" w:after="0"/>
        <w:ind w:right="425"/>
        <w:jc w:val="both"/>
        <w:rPr>
          <w:rFonts w:ascii="Arial" w:hAnsi="Arial" w:cs="Arial"/>
          <w:b/>
          <w:sz w:val="20"/>
          <w:szCs w:val="20"/>
        </w:rPr>
      </w:pPr>
      <w:r>
        <w:rPr/>
      </w:r>
    </w:p>
    <w:p>
      <w:pPr>
        <w:pStyle w:val="Normal"/>
        <w:ind w:right="425"/>
        <w:jc w:val="both"/>
        <w:rPr>
          <w:rFonts w:ascii="Arial" w:hAnsi="Arial" w:cs="Arial"/>
          <w:b/>
          <w:color w:themeColor="accent1" w:val="156082"/>
          <w:sz w:val="20"/>
          <w:szCs w:val="20"/>
        </w:rPr>
      </w:pPr>
      <w:r>
        <w:rPr/>
        <w:drawing>
          <wp:inline distT="0" distB="0" distL="0" distR="0">
            <wp:extent cx="6157595" cy="231648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8"/>
                    <a:stretch>
                      <a:fillRect/>
                    </a:stretch>
                  </pic:blipFill>
                  <pic:spPr bwMode="auto">
                    <a:xfrm>
                      <a:off x="0" y="0"/>
                      <a:ext cx="6157595" cy="2316480"/>
                    </a:xfrm>
                    <a:prstGeom prst="rect">
                      <a:avLst/>
                    </a:prstGeom>
                    <a:noFill/>
                  </pic:spPr>
                </pic:pic>
              </a:graphicData>
            </a:graphic>
          </wp:inline>
        </w:drawing>
      </w:r>
    </w:p>
    <w:p>
      <w:pPr>
        <w:pStyle w:val="Normal"/>
        <w:ind w:right="425"/>
        <w:jc w:val="both"/>
        <w:rPr>
          <w:rFonts w:ascii="Arial" w:hAnsi="Arial" w:cs="Arial"/>
          <w:i/>
          <w:i/>
          <w:color w:themeColor="accent1" w:val="156082"/>
          <w:sz w:val="10"/>
          <w:szCs w:val="10"/>
        </w:rPr>
      </w:pPr>
      <w:r>
        <w:rPr>
          <w:rFonts w:cs="Arial" w:ascii="Arial" w:hAnsi="Arial"/>
          <w:i/>
          <w:color w:themeColor="accent1" w:val="156082"/>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Apkopojot dzīvokļu piedāvājumu skaitu Rīgas mikrorajonos, var secināt, ka vislielākais piedāvājumu skaits aprīlī joprojām bija Āgenskalnā, savukārt vismazākais – Bolderājā.</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Dzīvokļu piedāvājumu skaits Rīgā 2026. gada aprīļa beigās</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4542155" cy="3554095"/>
            <wp:effectExtent l="0" t="0" r="0" b="0"/>
            <wp:docPr id="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
                    <pic:cNvPicPr>
                      <a:picLocks noChangeAspect="1" noChangeArrowheads="1"/>
                    </pic:cNvPicPr>
                  </pic:nvPicPr>
                  <pic:blipFill>
                    <a:blip r:embed="rId9"/>
                    <a:stretch>
                      <a:fillRect/>
                    </a:stretch>
                  </pic:blipFill>
                  <pic:spPr bwMode="auto">
                    <a:xfrm>
                      <a:off x="0" y="0"/>
                      <a:ext cx="4542155" cy="355409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Aprīlī Rīgas lielākajos mikrorajonos dzīvokļu piedāvājumu skaits gan palielināj</w:t>
      </w:r>
      <w:r>
        <w:rPr>
          <w:rFonts w:cs="Arial" w:ascii="Arial" w:hAnsi="Arial"/>
          <w:sz w:val="20"/>
          <w:szCs w:val="20"/>
        </w:rPr>
        <w:t>ā</w:t>
      </w:r>
      <w:r>
        <w:rPr>
          <w:rFonts w:cs="Arial" w:ascii="Arial" w:hAnsi="Arial"/>
          <w:sz w:val="20"/>
          <w:szCs w:val="20"/>
        </w:rPr>
        <w:t>s, gan samazināj</w:t>
      </w:r>
      <w:r>
        <w:rPr>
          <w:rFonts w:cs="Arial" w:ascii="Arial" w:hAnsi="Arial"/>
          <w:sz w:val="20"/>
          <w:szCs w:val="20"/>
        </w:rPr>
        <w:t>ā</w:t>
      </w:r>
      <w:r>
        <w:rPr>
          <w:rFonts w:cs="Arial" w:ascii="Arial" w:hAnsi="Arial"/>
          <w:sz w:val="20"/>
          <w:szCs w:val="20"/>
        </w:rPr>
        <w:t>s. Tomēr kopumā piedāvājum</w:t>
      </w:r>
      <w:r>
        <w:rPr>
          <w:rFonts w:cs="Arial" w:ascii="Arial" w:hAnsi="Arial"/>
          <w:sz w:val="20"/>
          <w:szCs w:val="20"/>
        </w:rPr>
        <w:t>u</w:t>
      </w:r>
      <w:r>
        <w:rPr>
          <w:rFonts w:cs="Arial" w:ascii="Arial" w:hAnsi="Arial"/>
          <w:sz w:val="20"/>
          <w:szCs w:val="20"/>
        </w:rPr>
        <w:t xml:space="preserve"> skaits </w:t>
      </w:r>
      <w:r>
        <w:rPr>
          <w:rFonts w:cs="Arial" w:ascii="Arial" w:hAnsi="Arial"/>
          <w:sz w:val="20"/>
          <w:szCs w:val="20"/>
        </w:rPr>
        <w:t>bija</w:t>
      </w:r>
      <w:r>
        <w:rPr>
          <w:rFonts w:cs="Arial" w:ascii="Arial" w:hAnsi="Arial"/>
          <w:sz w:val="20"/>
          <w:szCs w:val="20"/>
        </w:rPr>
        <w:t xml:space="preserve"> augstāks nekā mēnes</w:t>
      </w:r>
      <w:r>
        <w:rPr>
          <w:rFonts w:cs="Arial" w:ascii="Arial" w:hAnsi="Arial"/>
          <w:sz w:val="20"/>
          <w:szCs w:val="20"/>
        </w:rPr>
        <w:t>i iepriekš</w:t>
      </w:r>
      <w:r>
        <w:rPr>
          <w:rFonts w:cs="Arial" w:ascii="Arial" w:hAnsi="Arial"/>
          <w:sz w:val="20"/>
          <w:szCs w:val="20"/>
        </w:rPr>
        <w:t>. Visvairāk piedāvājumu skaits aprīlī palielinājās Ķengaragā (+34 %). Dzīvokļu piedāvājumu skaits aprīlī visvairāk samazināj</w:t>
      </w:r>
      <w:r>
        <w:rPr>
          <w:rFonts w:cs="Arial" w:ascii="Arial" w:hAnsi="Arial"/>
          <w:sz w:val="20"/>
          <w:szCs w:val="20"/>
        </w:rPr>
        <w:t>ā</w:t>
      </w:r>
      <w:r>
        <w:rPr>
          <w:rFonts w:cs="Arial" w:ascii="Arial" w:hAnsi="Arial"/>
          <w:sz w:val="20"/>
          <w:szCs w:val="20"/>
        </w:rPr>
        <w:t xml:space="preserve">s Bolderājā (-15 %). </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Aprīlī, analizējot piedāvājum</w:t>
      </w:r>
      <w:r>
        <w:rPr>
          <w:rFonts w:cs="Arial" w:ascii="Arial" w:hAnsi="Arial"/>
          <w:sz w:val="20"/>
          <w:szCs w:val="20"/>
        </w:rPr>
        <w:t>u</w:t>
      </w:r>
      <w:r>
        <w:rPr>
          <w:rFonts w:cs="Arial" w:ascii="Arial" w:hAnsi="Arial"/>
          <w:sz w:val="20"/>
          <w:szCs w:val="20"/>
        </w:rPr>
        <w:t xml:space="preserve"> skaitu proporcionāli mikrorajona lielumam, proti, pēc iedzīvotāju skaita, vislielākais piedāvājums konstatēts Āgenskalnā. Savukārt Zolitūdē piedāvājumu skaits bija proporcionāli vismazākais.</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 xml:space="preserve">Dzīvokļu piedāvājums proporcionāli Rīgas mikrorajonu lielumam 2026. gada aprīlī </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sz w:val="20"/>
          <w:szCs w:val="20"/>
        </w:rPr>
      </w:pPr>
      <w:r>
        <w:rPr/>
        <w:drawing>
          <wp:inline distT="0" distB="0" distL="0" distR="0">
            <wp:extent cx="4395470" cy="3469005"/>
            <wp:effectExtent l="0" t="0" r="0" b="0"/>
            <wp:docPr id="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
                    <pic:cNvPicPr>
                      <a:picLocks noChangeAspect="1" noChangeArrowheads="1"/>
                    </pic:cNvPicPr>
                  </pic:nvPicPr>
                  <pic:blipFill>
                    <a:blip r:embed="rId10"/>
                    <a:stretch>
                      <a:fillRect/>
                    </a:stretch>
                  </pic:blipFill>
                  <pic:spPr bwMode="auto">
                    <a:xfrm>
                      <a:off x="0" y="0"/>
                      <a:ext cx="4395470" cy="346900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 xml:space="preserve">Aprīlī Rīgas mikrorajonos sērijveida dzīvokļu cenās varēja novērot izmaiņas. Visos Rīgas lielākajos mikrorajonos varēja novērot dzīvokļu vidējās cenas palielinājumu. Lielākais vidējās cenas pieaugums </w:t>
      </w:r>
      <w:r>
        <w:rPr>
          <w:rFonts w:cs="Arial" w:ascii="Arial" w:hAnsi="Arial"/>
          <w:sz w:val="20"/>
          <w:szCs w:val="20"/>
        </w:rPr>
        <w:t>konstatēts</w:t>
      </w:r>
      <w:r>
        <w:rPr>
          <w:rFonts w:cs="Arial" w:ascii="Arial" w:hAnsi="Arial"/>
          <w:sz w:val="20"/>
          <w:szCs w:val="20"/>
        </w:rPr>
        <w:t xml:space="preserve"> Āgenskalnā, kur cenas mēneša laikā pieauga par 3 %. Aprīlī vismazākais dzīvokļu cenu pieaugums </w:t>
      </w:r>
      <w:r>
        <w:rPr>
          <w:rFonts w:cs="Arial" w:ascii="Arial" w:hAnsi="Arial"/>
          <w:sz w:val="20"/>
          <w:szCs w:val="20"/>
        </w:rPr>
        <w:t>fiksēts</w:t>
      </w:r>
      <w:r>
        <w:rPr>
          <w:rFonts w:cs="Arial" w:ascii="Arial" w:hAnsi="Arial"/>
          <w:sz w:val="20"/>
          <w:szCs w:val="20"/>
        </w:rPr>
        <w:t xml:space="preserve"> Ziepniekkalnā.</w:t>
      </w:r>
    </w:p>
    <w:p>
      <w:pPr>
        <w:pStyle w:val="Normal"/>
        <w:ind w:right="425"/>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rPr>
          <w:rFonts w:ascii="Arial" w:hAnsi="Arial" w:cs="Arial"/>
          <w:b/>
          <w:sz w:val="20"/>
          <w:szCs w:val="20"/>
        </w:rPr>
      </w:pPr>
      <w:r>
        <w:rPr>
          <w:rFonts w:cs="Arial" w:ascii="Arial" w:hAnsi="Arial"/>
          <w:b/>
          <w:sz w:val="20"/>
          <w:szCs w:val="20"/>
        </w:rPr>
        <w:t>Sērijveida dzīvokļu kvadrātmetra vidējās cenas izmaiņas Rīgas mikrorajonos, %</w:t>
      </w:r>
    </w:p>
    <w:p>
      <w:pPr>
        <w:pStyle w:val="Normal"/>
        <w:ind w:right="425"/>
        <w:rPr>
          <w:rFonts w:ascii="Arial" w:hAnsi="Arial" w:cs="Arial"/>
          <w:b/>
          <w:sz w:val="20"/>
          <w:szCs w:val="20"/>
        </w:rPr>
      </w:pPr>
      <w:r>
        <w:rPr>
          <w:rFonts w:cs="Arial" w:ascii="Arial" w:hAnsi="Arial"/>
          <w:b/>
          <w:sz w:val="20"/>
          <w:szCs w:val="20"/>
        </w:rPr>
      </w:r>
    </w:p>
    <w:p>
      <w:pPr>
        <w:pStyle w:val="Normal"/>
        <w:ind w:right="425"/>
        <w:jc w:val="both"/>
        <w:rPr/>
      </w:pPr>
      <w:r>
        <w:rPr/>
        <w:drawing>
          <wp:inline distT="0" distB="0" distL="0" distR="0">
            <wp:extent cx="4143375" cy="2438400"/>
            <wp:effectExtent l="0" t="0" r="0" b="0"/>
            <wp:docPr id="10" name="Attēls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9" descr=""/>
                    <pic:cNvPicPr>
                      <a:picLocks noChangeAspect="1" noChangeArrowheads="1"/>
                    </pic:cNvPicPr>
                  </pic:nvPicPr>
                  <pic:blipFill>
                    <a:blip r:embed="rId11"/>
                    <a:stretch>
                      <a:fillRect/>
                    </a:stretch>
                  </pic:blipFill>
                  <pic:spPr bwMode="auto">
                    <a:xfrm>
                      <a:off x="0" y="0"/>
                      <a:ext cx="4143375" cy="243840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 xml:space="preserve">Salīdzinot ar 2026. gada sākumu, 2026. gada aprīlī visos Rīgas lielākajos mikrorajonos sērijveida dzīvokļu cenas </w:t>
      </w:r>
      <w:r>
        <w:rPr>
          <w:rFonts w:cs="Arial" w:ascii="Arial" w:hAnsi="Arial"/>
          <w:sz w:val="20"/>
          <w:szCs w:val="20"/>
        </w:rPr>
        <w:t>bija</w:t>
      </w:r>
      <w:r>
        <w:rPr>
          <w:rFonts w:cs="Arial" w:ascii="Arial" w:hAnsi="Arial"/>
          <w:sz w:val="20"/>
          <w:szCs w:val="20"/>
        </w:rPr>
        <w:t xml:space="preserve"> augstākas. Augstākā dzīvokļ</w:t>
      </w:r>
      <w:r>
        <w:rPr>
          <w:rFonts w:cs="Arial" w:ascii="Arial" w:hAnsi="Arial"/>
          <w:sz w:val="20"/>
          <w:szCs w:val="20"/>
        </w:rPr>
        <w:t>u</w:t>
      </w:r>
      <w:r>
        <w:rPr>
          <w:rFonts w:cs="Arial" w:ascii="Arial" w:hAnsi="Arial"/>
          <w:sz w:val="20"/>
          <w:szCs w:val="20"/>
        </w:rPr>
        <w:t xml:space="preserve"> kvadrātmetra vidējā cena bija Teikā, bet viszemākā joprojām Bolderājā.</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EUR/m²</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246495" cy="2423795"/>
            <wp:effectExtent l="0" t="0" r="0" b="0"/>
            <wp:docPr id="11" name="Attēls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5" descr=""/>
                    <pic:cNvPicPr>
                      <a:picLocks noChangeAspect="1" noChangeArrowheads="1"/>
                    </pic:cNvPicPr>
                  </pic:nvPicPr>
                  <pic:blipFill>
                    <a:blip r:embed="rId12"/>
                    <a:stretch>
                      <a:fillRect/>
                    </a:stretch>
                  </pic:blipFill>
                  <pic:spPr bwMode="auto">
                    <a:xfrm>
                      <a:off x="0" y="0"/>
                      <a:ext cx="6246495" cy="2423795"/>
                    </a:xfrm>
                    <a:prstGeom prst="rect">
                      <a:avLst/>
                    </a:prstGeom>
                    <a:noFill/>
                  </pic:spPr>
                </pic:pic>
              </a:graphicData>
            </a:graphic>
          </wp:inline>
        </w:drawing>
      </w:r>
    </w:p>
    <w:p>
      <w:pPr>
        <w:pStyle w:val="Normal"/>
        <w:ind w:right="425"/>
        <w:jc w:val="both"/>
        <w:rPr>
          <w:rFonts w:ascii="Arial" w:hAnsi="Arial" w:cs="Arial"/>
          <w:sz w:val="10"/>
          <w:szCs w:val="10"/>
        </w:rPr>
      </w:pPr>
      <w:r>
        <w:rPr>
          <w:rFonts w:cs="Arial" w:ascii="Arial" w:hAnsi="Arial"/>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sz w:val="20"/>
          <w:szCs w:val="20"/>
        </w:rPr>
      </w:pPr>
      <w:bookmarkStart w:id="10" w:name="OLE_LINK8"/>
      <w:bookmarkStart w:id="11" w:name="OLE_LINK7"/>
      <w:r>
        <w:rPr>
          <w:rFonts w:cs="Arial" w:ascii="Arial" w:hAnsi="Arial"/>
          <w:sz w:val="20"/>
          <w:szCs w:val="20"/>
        </w:rPr>
        <w:t>Sērijveida dzīvokļu augstākās cenas aprīlī saglabājās Teikā, kur kvadrātmetra vidējā cena pieaug</w:t>
      </w:r>
      <w:r>
        <w:rPr>
          <w:rFonts w:cs="Arial" w:ascii="Arial" w:hAnsi="Arial"/>
          <w:sz w:val="20"/>
          <w:szCs w:val="20"/>
        </w:rPr>
        <w:t>a</w:t>
      </w:r>
      <w:r>
        <w:rPr>
          <w:rFonts w:cs="Arial" w:ascii="Arial" w:hAnsi="Arial"/>
          <w:sz w:val="20"/>
          <w:szCs w:val="20"/>
        </w:rPr>
        <w:t xml:space="preserve"> līdz 1 141 EUR/m². Viena kvadrātmetra zemākā vidējā cena aprīlī </w:t>
      </w:r>
      <w:r>
        <w:rPr>
          <w:rFonts w:cs="Arial" w:ascii="Arial" w:hAnsi="Arial"/>
          <w:sz w:val="20"/>
          <w:szCs w:val="20"/>
        </w:rPr>
        <w:t>novērota</w:t>
      </w:r>
      <w:r>
        <w:rPr>
          <w:rFonts w:cs="Arial" w:ascii="Arial" w:hAnsi="Arial"/>
          <w:i/>
          <w:sz w:val="20"/>
          <w:szCs w:val="20"/>
        </w:rPr>
        <w:t xml:space="preserve"> </w:t>
      </w:r>
      <w:r>
        <w:rPr>
          <w:rFonts w:cs="Arial" w:ascii="Arial" w:hAnsi="Arial"/>
          <w:sz w:val="20"/>
          <w:szCs w:val="20"/>
        </w:rPr>
        <w:t>Bolderājā – 708 EUR/m², kas arī palielināj</w:t>
      </w:r>
      <w:r>
        <w:rPr>
          <w:rFonts w:cs="Arial" w:ascii="Arial" w:hAnsi="Arial"/>
          <w:sz w:val="20"/>
          <w:szCs w:val="20"/>
        </w:rPr>
        <w:t>ā</w:t>
      </w:r>
      <w:r>
        <w:rPr>
          <w:rFonts w:cs="Arial" w:ascii="Arial" w:hAnsi="Arial"/>
          <w:sz w:val="20"/>
          <w:szCs w:val="20"/>
        </w:rPr>
        <w:t>s salīdzinājumā ar iepriekšējo mēnesi.</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2026. gada 1. maijā, EUR/m²</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276975" cy="3840480"/>
            <wp:effectExtent l="0" t="0" r="0" b="0"/>
            <wp:docPr id="12" name="Attēls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7" descr=""/>
                    <pic:cNvPicPr>
                      <a:picLocks noChangeAspect="1" noChangeArrowheads="1"/>
                    </pic:cNvPicPr>
                  </pic:nvPicPr>
                  <pic:blipFill>
                    <a:blip r:embed="rId13"/>
                    <a:stretch>
                      <a:fillRect/>
                    </a:stretch>
                  </pic:blipFill>
                  <pic:spPr bwMode="auto">
                    <a:xfrm>
                      <a:off x="0" y="0"/>
                      <a:ext cx="6276975" cy="384048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iCs/>
          <w:color w:themeColor="accent1" w:val="156082"/>
          <w:sz w:val="20"/>
          <w:szCs w:val="20"/>
        </w:rPr>
      </w:pPr>
      <w:r>
        <w:rPr>
          <w:rFonts w:cs="Arial" w:ascii="Arial" w:hAnsi="Arial"/>
          <w:iCs/>
          <w:color w:themeColor="accent1" w:val="156082"/>
          <w:sz w:val="20"/>
          <w:szCs w:val="20"/>
        </w:rPr>
      </w:r>
    </w:p>
    <w:p>
      <w:pPr>
        <w:pStyle w:val="Normal"/>
        <w:ind w:right="425"/>
        <w:jc w:val="both"/>
        <w:rPr>
          <w:rFonts w:ascii="Arial" w:hAnsi="Arial" w:cs="Arial"/>
          <w:sz w:val="20"/>
          <w:szCs w:val="20"/>
        </w:rPr>
      </w:pPr>
      <w:r>
        <w:rPr>
          <w:rFonts w:cs="Arial" w:ascii="Arial" w:hAnsi="Arial"/>
          <w:sz w:val="20"/>
          <w:szCs w:val="20"/>
        </w:rPr>
        <w:t>Aprīlī visdārgākie dzīvokļi saglabājās 119. un 104. sērijas mājās, kurās cenas divistabu dzīvokļiem apmierinošā stāvoklī bija robežās no 56 000 līdz 59 000 eiro atkarībā no atrašanās vietas. Savukārt vislētākās bija lietuviešu projekta mājas, kur divistabu dzīvokļu cenu amplitūda bija no 33 000 līdz 47 000 eiro, un Hruščova laika mājas, kurās cenas divistabu dzīvokļiem bija robežās no 31 000 līdz 49 000 eiro atkarībā no mikrorajona.</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Rīgas mikrorajonu dzīvokļu cenas 2026. gada aprīlī dalījumā pēc sērijām (divistabu dzīvokļiem), EUR</w:t>
      </w:r>
    </w:p>
    <w:p>
      <w:pPr>
        <w:pStyle w:val="Normal"/>
        <w:ind w:right="425"/>
        <w:jc w:val="both"/>
        <w:rPr>
          <w:rFonts w:ascii="Arial" w:hAnsi="Arial" w:cs="Arial"/>
          <w:b/>
          <w:sz w:val="20"/>
          <w:szCs w:val="20"/>
        </w:rPr>
      </w:pPr>
      <w:r>
        <w:rPr/>
      </w:r>
    </w:p>
    <w:p>
      <w:pPr>
        <w:pStyle w:val="Normal"/>
        <w:ind w:firstLine="1080" w:left="-1080" w:right="425"/>
        <w:jc w:val="both"/>
        <w:rPr>
          <w:rFonts w:ascii="Arial" w:hAnsi="Arial" w:cs="Arial"/>
          <w:sz w:val="20"/>
          <w:szCs w:val="20"/>
        </w:rPr>
      </w:pPr>
      <w:r>
        <w:rPr/>
        <w:drawing>
          <wp:inline distT="0" distB="0" distL="0" distR="0">
            <wp:extent cx="6273165" cy="2834640"/>
            <wp:effectExtent l="0" t="0" r="0" b="0"/>
            <wp:docPr id="13" name="Attēls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6" descr=""/>
                    <pic:cNvPicPr>
                      <a:picLocks noChangeAspect="1" noChangeArrowheads="1"/>
                    </pic:cNvPicPr>
                  </pic:nvPicPr>
                  <pic:blipFill>
                    <a:blip r:embed="rId14"/>
                    <a:stretch>
                      <a:fillRect/>
                    </a:stretch>
                  </pic:blipFill>
                  <pic:spPr bwMode="auto">
                    <a:xfrm>
                      <a:off x="0" y="0"/>
                      <a:ext cx="6273165" cy="2834640"/>
                    </a:xfrm>
                    <a:prstGeom prst="rect">
                      <a:avLst/>
                    </a:prstGeom>
                    <a:noFill/>
                  </pic:spPr>
                </pic:pic>
              </a:graphicData>
            </a:graphic>
          </wp:inline>
        </w:drawing>
      </w:r>
    </w:p>
    <w:p>
      <w:pPr>
        <w:pStyle w:val="Normal"/>
        <w:ind w:right="425"/>
        <w:jc w:val="both"/>
        <w:rPr>
          <w:rFonts w:ascii="Arial" w:hAnsi="Arial" w:cs="Arial"/>
          <w:iCs/>
          <w:sz w:val="16"/>
          <w:szCs w:val="16"/>
        </w:rPr>
      </w:pPr>
      <w:r>
        <w:rPr/>
      </w:r>
    </w:p>
    <w:p>
      <w:pPr>
        <w:pStyle w:val="Normal"/>
        <w:ind w:right="425"/>
        <w:jc w:val="both"/>
        <w:rPr>
          <w:color w:val="808080"/>
        </w:rPr>
      </w:pPr>
      <w:bookmarkStart w:id="12" w:name="OLE_LINK8"/>
      <w:bookmarkStart w:id="13" w:name="OLE_LINK7"/>
      <w:r>
        <w:rPr>
          <w:rFonts w:cs="Arial" w:ascii="Arial" w:hAnsi="Arial"/>
          <w:iCs/>
          <w:color w:val="808080"/>
          <w:sz w:val="16"/>
          <w:szCs w:val="16"/>
        </w:rPr>
        <w:t>Avots: ARCO REAL ESTATE</w:t>
      </w:r>
      <w:bookmarkEnd w:id="12"/>
      <w:bookmarkEnd w:id="13"/>
    </w:p>
    <w:p>
      <w:pPr>
        <w:pStyle w:val="Normal"/>
        <w:ind w:right="425"/>
        <w:jc w:val="center"/>
        <w:rPr>
          <w:rFonts w:ascii="Arial" w:hAnsi="Arial" w:cs="Arial"/>
          <w:b/>
          <w:color w:themeColor="accent1" w:val="156082"/>
        </w:rPr>
      </w:pPr>
      <w:r>
        <w:rPr>
          <w:rFonts w:cs="Arial" w:ascii="Arial" w:hAnsi="Arial"/>
          <w:b/>
          <w:color w:themeColor="accent1" w:val="156082"/>
        </w:rPr>
      </w:r>
    </w:p>
    <w:p>
      <w:pPr>
        <w:pStyle w:val="Normal"/>
        <w:ind w:right="425"/>
        <w:jc w:val="center"/>
        <w:rPr>
          <w:rFonts w:ascii="Arial" w:hAnsi="Arial" w:cs="Arial"/>
          <w:b/>
          <w:color w:themeColor="accent1" w:val="156082"/>
        </w:rPr>
      </w:pPr>
      <w:r>
        <w:rPr>
          <w:rFonts w:cs="Arial" w:ascii="Arial" w:hAnsi="Arial"/>
          <w:b/>
          <w:color w:themeColor="accent1" w:val="156082"/>
        </w:rPr>
      </w:r>
    </w:p>
    <w:p>
      <w:pPr>
        <w:pStyle w:val="Normal"/>
        <w:ind w:right="425"/>
        <w:jc w:val="center"/>
        <w:rPr>
          <w:rFonts w:ascii="Arial" w:hAnsi="Arial" w:cs="Arial"/>
          <w:b/>
        </w:rPr>
      </w:pPr>
      <w:r>
        <w:rPr>
          <w:rFonts w:cs="Arial" w:ascii="Arial" w:hAnsi="Arial"/>
          <w:b/>
        </w:rPr>
        <w:t>Dzīvokļu tirgus Rīgas apkārtnē</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Ogre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2026. gada aprīlī sērijveida dzīvokļu cenas </w:t>
      </w:r>
      <w:r>
        <w:rPr>
          <w:rFonts w:cs="Arial" w:ascii="Arial" w:hAnsi="Arial"/>
          <w:sz w:val="20"/>
          <w:szCs w:val="20"/>
        </w:rPr>
        <w:t xml:space="preserve">Ogrē </w:t>
      </w:r>
      <w:r>
        <w:rPr>
          <w:rFonts w:cs="Arial" w:ascii="Arial" w:hAnsi="Arial"/>
          <w:sz w:val="20"/>
          <w:szCs w:val="20"/>
        </w:rPr>
        <w:t xml:space="preserve">palielinājās par 1,5 %. Dzīvokļu viena kvadrātmetra vidējā cena sasniedza 939 EUR/m². Dzīvokļu cenas Ogrē aprīlī </w:t>
      </w:r>
      <w:r>
        <w:rPr>
          <w:rFonts w:cs="Arial" w:ascii="Arial" w:hAnsi="Arial"/>
          <w:sz w:val="20"/>
          <w:szCs w:val="20"/>
        </w:rPr>
        <w:t>bija</w:t>
      </w:r>
      <w:r>
        <w:rPr>
          <w:rFonts w:cs="Arial" w:ascii="Arial" w:hAnsi="Arial"/>
          <w:sz w:val="20"/>
          <w:szCs w:val="20"/>
        </w:rPr>
        <w:t xml:space="preserve"> par 6 % augstākas nekā 2026. gada sākumā.</w:t>
      </w:r>
    </w:p>
    <w:p>
      <w:pPr>
        <w:pStyle w:val="Normal"/>
        <w:ind w:right="425"/>
        <w:rPr>
          <w:rFonts w:ascii="Arial" w:hAnsi="Arial" w:cs="Arial"/>
          <w:b/>
          <w:bCs/>
          <w:color w:themeColor="accent1" w:val="156082"/>
          <w:sz w:val="20"/>
          <w:szCs w:val="20"/>
        </w:rPr>
      </w:pPr>
      <w:r>
        <w:rPr>
          <w:rFonts w:cs="Arial" w:ascii="Arial" w:hAnsi="Arial"/>
          <w:b/>
          <w:bCs/>
          <w:color w:themeColor="accent1" w:val="156082"/>
          <w:sz w:val="20"/>
          <w:szCs w:val="20"/>
        </w:rPr>
      </w:r>
    </w:p>
    <w:p>
      <w:pPr>
        <w:pStyle w:val="Normal"/>
        <w:ind w:right="425"/>
        <w:rPr>
          <w:rFonts w:ascii="Arial" w:hAnsi="Arial" w:cs="Arial"/>
          <w:b/>
          <w:bCs/>
          <w:sz w:val="20"/>
          <w:szCs w:val="20"/>
        </w:rPr>
      </w:pPr>
      <w:r>
        <w:rPr>
          <w:rFonts w:cs="Arial" w:ascii="Arial" w:hAnsi="Arial"/>
          <w:b/>
          <w:bCs/>
          <w:sz w:val="20"/>
          <w:szCs w:val="20"/>
        </w:rPr>
        <w:t>Sērijveida dzīvokļu vidējās cenas dinamika Ogrē, EUR/m²</w:t>
      </w:r>
    </w:p>
    <w:p>
      <w:pPr>
        <w:pStyle w:val="Normal"/>
        <w:ind w:right="425"/>
        <w:rPr>
          <w:rFonts w:ascii="Arial" w:hAnsi="Arial" w:cs="Arial"/>
          <w:b/>
          <w:bCs/>
          <w:sz w:val="20"/>
          <w:szCs w:val="20"/>
          <w:vertAlign w:val="superscript"/>
        </w:rPr>
      </w:pPr>
      <w:r>
        <w:rPr>
          <w:rFonts w:cs="Arial" w:ascii="Arial" w:hAnsi="Arial"/>
          <w:b/>
          <w:bCs/>
          <w:sz w:val="20"/>
          <w:szCs w:val="20"/>
          <w:vertAlign w:val="superscript"/>
        </w:rPr>
      </w:r>
    </w:p>
    <w:p>
      <w:pPr>
        <w:pStyle w:val="Normal"/>
        <w:ind w:right="425"/>
        <w:rPr>
          <w:rFonts w:ascii="Arial" w:hAnsi="Arial" w:cs="Arial"/>
          <w:sz w:val="20"/>
          <w:szCs w:val="20"/>
        </w:rPr>
      </w:pPr>
      <w:r>
        <w:rPr/>
        <w:drawing>
          <wp:inline distT="0" distB="0" distL="0" distR="0">
            <wp:extent cx="6252845" cy="1590675"/>
            <wp:effectExtent l="0" t="0" r="0" b="0"/>
            <wp:docPr id="14" name="Attēls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5" descr=""/>
                    <pic:cNvPicPr>
                      <a:picLocks noChangeAspect="1" noChangeArrowheads="1"/>
                    </pic:cNvPicPr>
                  </pic:nvPicPr>
                  <pic:blipFill>
                    <a:blip r:embed="rId15"/>
                    <a:stretch>
                      <a:fillRect/>
                    </a:stretch>
                  </pic:blipFill>
                  <pic:spPr bwMode="auto">
                    <a:xfrm>
                      <a:off x="0" y="0"/>
                      <a:ext cx="6252845" cy="159067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rFonts w:ascii="Arial" w:hAnsi="Arial" w:cs="Arial"/>
          <w:iCs/>
          <w:sz w:val="20"/>
          <w:szCs w:val="20"/>
        </w:rPr>
      </w:pPr>
      <w:r>
        <w:rPr>
          <w:rFonts w:cs="Arial" w:ascii="Arial" w:hAnsi="Arial"/>
          <w:iCs/>
          <w:sz w:val="16"/>
          <w:szCs w:val="16"/>
        </w:rPr>
        <w:t>Avots: ARCO REAL ESTATE</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rFonts w:cs="Arial" w:ascii="Arial" w:hAnsi="Arial"/>
          <w:b/>
          <w:sz w:val="20"/>
          <w:szCs w:val="20"/>
        </w:rPr>
        <w:t>Kauguri, Jūrmala</w:t>
      </w:r>
    </w:p>
    <w:p>
      <w:pPr>
        <w:pStyle w:val="Normal"/>
        <w:ind w:right="425"/>
        <w:jc w:val="both"/>
        <w:rPr>
          <w:rFonts w:ascii="Arial" w:hAnsi="Arial" w:cs="Arial"/>
          <w:sz w:val="20"/>
          <w:szCs w:val="20"/>
        </w:rPr>
      </w:pPr>
      <w:r>
        <w:rPr>
          <w:rFonts w:cs="Arial" w:ascii="Arial" w:hAnsi="Arial"/>
          <w:sz w:val="20"/>
          <w:szCs w:val="20"/>
        </w:rPr>
        <w:t xml:space="preserve"> </w:t>
      </w:r>
    </w:p>
    <w:p>
      <w:pPr>
        <w:pStyle w:val="Normal"/>
        <w:ind w:right="425"/>
        <w:jc w:val="both"/>
        <w:rPr>
          <w:rFonts w:ascii="Arial" w:hAnsi="Arial" w:cs="Arial"/>
          <w:sz w:val="20"/>
          <w:szCs w:val="20"/>
        </w:rPr>
      </w:pPr>
      <w:r>
        <w:rPr>
          <w:rFonts w:cs="Arial" w:ascii="Arial" w:hAnsi="Arial"/>
          <w:sz w:val="20"/>
          <w:szCs w:val="20"/>
        </w:rPr>
        <w:t xml:space="preserve">Kauguros 2026. gada aprīlī sērijveida dzīvokļu cenas palielinājās par 1,2 %. Sērijveida dzīvokļu vidējā cena aprīlī – 863 EUR/m². Kopš 2026. gada sākuma dzīvokļu cenas Kauguros augstākas par 4 %. </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b/>
          <w:sz w:val="20"/>
          <w:szCs w:val="20"/>
          <w:vertAlign w:val="superscript"/>
        </w:rPr>
      </w:pPr>
      <w:r>
        <w:rPr/>
      </w:r>
      <w:r>
        <w:br w:type="page"/>
      </w:r>
    </w:p>
    <w:p>
      <w:pPr>
        <w:pStyle w:val="Normal"/>
        <w:ind w:right="425"/>
        <w:jc w:val="both"/>
        <w:rPr>
          <w:rFonts w:ascii="Arial" w:hAnsi="Arial" w:cs="Arial"/>
          <w:b/>
          <w:sz w:val="20"/>
          <w:szCs w:val="20"/>
          <w:vertAlign w:val="superscript"/>
        </w:rPr>
      </w:pPr>
      <w:r>
        <w:rPr>
          <w:rFonts w:cs="Arial" w:ascii="Arial" w:hAnsi="Arial"/>
          <w:b/>
          <w:sz w:val="20"/>
          <w:szCs w:val="20"/>
        </w:rPr>
        <w:t>Sērijveida dzīvokļu vidējās cenas dinamika Jūrmalā, Kauguros, EUR/m²</w:t>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rFonts w:ascii="Arial" w:hAnsi="Arial" w:cs="Arial"/>
          <w:sz w:val="20"/>
          <w:szCs w:val="20"/>
        </w:rPr>
      </w:pPr>
      <w:r>
        <w:rPr/>
        <w:drawing>
          <wp:inline distT="0" distB="0" distL="0" distR="0">
            <wp:extent cx="6216650" cy="1619250"/>
            <wp:effectExtent l="0" t="0" r="0" b="0"/>
            <wp:docPr id="15" name="Attēls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4" descr=""/>
                    <pic:cNvPicPr>
                      <a:picLocks noChangeAspect="1" noChangeArrowheads="1"/>
                    </pic:cNvPicPr>
                  </pic:nvPicPr>
                  <pic:blipFill>
                    <a:blip r:embed="rId16"/>
                    <a:stretch>
                      <a:fillRect/>
                    </a:stretch>
                  </pic:blipFill>
                  <pic:spPr bwMode="auto">
                    <a:xfrm>
                      <a:off x="0" y="0"/>
                      <a:ext cx="6216650" cy="161925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Salaspils</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bookmarkStart w:id="14" w:name="OLE_LINK2"/>
      <w:bookmarkStart w:id="15" w:name="OLE_LINK1"/>
      <w:r>
        <w:rPr>
          <w:rFonts w:cs="Arial" w:ascii="Arial" w:hAnsi="Arial"/>
          <w:sz w:val="20"/>
          <w:szCs w:val="20"/>
        </w:rPr>
        <w:t>2026. gada aprīlī sērijveida dzīvokļu cenas Salaspilī palielinājās par 1,1 %. Dzīvokļu viena kvadrātmetra vidējā cena pieauga līdz 895 EUR/m².</w:t>
      </w:r>
      <w:bookmarkEnd w:id="14"/>
      <w:bookmarkEnd w:id="15"/>
      <w:r>
        <w:rPr>
          <w:rFonts w:cs="Arial" w:ascii="Arial" w:hAnsi="Arial"/>
          <w:sz w:val="20"/>
          <w:szCs w:val="20"/>
        </w:rPr>
        <w:t xml:space="preserve"> Aprīlī sērijveida dzīvokļu cenas Salaspilī bija par 5 % augstākas nekā šā gada sākumā.</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Salaspils sērijveida dzīvokļu vidējās cenas dinamika, EUR/m²</w:t>
      </w:r>
    </w:p>
    <w:p>
      <w:pPr>
        <w:pStyle w:val="Normal"/>
        <w:ind w:right="425"/>
        <w:jc w:val="both"/>
        <w:rPr>
          <w:rFonts w:ascii="Arial" w:hAnsi="Arial" w:cs="Arial"/>
          <w:b/>
          <w:sz w:val="20"/>
          <w:szCs w:val="20"/>
          <w:vertAlign w:val="superscript"/>
        </w:rPr>
      </w:pPr>
      <w:r>
        <w:rPr/>
      </w:r>
    </w:p>
    <w:p>
      <w:pPr>
        <w:pStyle w:val="Normal"/>
        <w:ind w:right="425"/>
        <w:jc w:val="both"/>
        <w:rPr>
          <w:rFonts w:ascii="Arial" w:hAnsi="Arial" w:cs="Arial"/>
          <w:sz w:val="20"/>
          <w:szCs w:val="20"/>
        </w:rPr>
      </w:pPr>
      <w:r>
        <w:rPr/>
        <w:drawing>
          <wp:inline distT="0" distB="0" distL="0" distR="0">
            <wp:extent cx="6231255" cy="1651635"/>
            <wp:effectExtent l="0" t="0" r="0" b="0"/>
            <wp:docPr id="16" name="Attēls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3" descr=""/>
                    <pic:cNvPicPr>
                      <a:picLocks noChangeAspect="1" noChangeArrowheads="1"/>
                    </pic:cNvPicPr>
                  </pic:nvPicPr>
                  <pic:blipFill>
                    <a:blip r:embed="rId17"/>
                    <a:stretch>
                      <a:fillRect/>
                    </a:stretch>
                  </pic:blipFill>
                  <pic:spPr bwMode="auto">
                    <a:xfrm>
                      <a:off x="0" y="0"/>
                      <a:ext cx="6231255" cy="165163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1" w:val="156082"/>
          <w:sz w:val="20"/>
          <w:szCs w:val="20"/>
        </w:rPr>
      </w:pPr>
      <w:r>
        <w:rPr>
          <w:rFonts w:cs="Arial" w:ascii="Arial" w:hAnsi="Arial"/>
          <w:color w:themeColor="accent1" w:val="156082"/>
          <w:sz w:val="20"/>
          <w:szCs w:val="20"/>
        </w:rPr>
      </w:r>
    </w:p>
    <w:p>
      <w:pPr>
        <w:pStyle w:val="Normal"/>
        <w:ind w:right="425"/>
        <w:jc w:val="both"/>
        <w:rPr>
          <w:rFonts w:ascii="Arial" w:hAnsi="Arial" w:cs="Arial"/>
          <w:b/>
          <w:sz w:val="20"/>
          <w:szCs w:val="20"/>
        </w:rPr>
      </w:pPr>
      <w:r>
        <w:rPr>
          <w:rFonts w:cs="Arial" w:ascii="Arial" w:hAnsi="Arial"/>
          <w:b/>
          <w:sz w:val="20"/>
          <w:szCs w:val="20"/>
        </w:rPr>
        <w:t>Jelgava</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Jelgavā dzīvokļu cenas 2026. gada aprīlī palielinājās par 1,1 %. Sērijveida dzīvokļu vidējā cena aprīlī Jelgavā – 791 EUR/m². Jelgavā sērijveida dzīvokļu cenas </w:t>
      </w:r>
      <w:r>
        <w:rPr>
          <w:rFonts w:cs="Arial" w:ascii="Arial" w:hAnsi="Arial"/>
          <w:sz w:val="20"/>
          <w:szCs w:val="20"/>
        </w:rPr>
        <w:t xml:space="preserve">aprīlī bija </w:t>
      </w:r>
      <w:r>
        <w:rPr>
          <w:rFonts w:cs="Arial" w:ascii="Arial" w:hAnsi="Arial"/>
          <w:sz w:val="20"/>
          <w:szCs w:val="20"/>
        </w:rPr>
        <w:t>par 3 % augstākas nekā 2026. gada sākumā.</w:t>
      </w:r>
    </w:p>
    <w:p>
      <w:pPr>
        <w:pStyle w:val="Normal"/>
        <w:ind w:right="425"/>
        <w:jc w:val="both"/>
        <w:rPr>
          <w:rFonts w:ascii="Arial" w:hAnsi="Arial" w:cs="Arial"/>
          <w:b/>
          <w:color w:themeColor="accent1" w:val="156082"/>
          <w:sz w:val="20"/>
          <w:szCs w:val="20"/>
        </w:rPr>
      </w:pPr>
      <w:r>
        <w:rPr>
          <w:rFonts w:cs="Arial" w:ascii="Arial" w:hAnsi="Arial"/>
          <w:b/>
          <w:color w:themeColor="accent1" w:val="156082"/>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Jelgavas sērijveida dzīvokļu vidējās cenas dinamika, EUR/m</w:t>
      </w:r>
      <w:r>
        <w:rPr>
          <w:rFonts w:cs="Arial" w:ascii="Arial" w:hAnsi="Arial"/>
          <w:b/>
          <w:sz w:val="20"/>
          <w:szCs w:val="20"/>
          <w:vertAlign w:val="superscript"/>
        </w:rPr>
        <w:t>2</w:t>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rFonts w:ascii="Arial" w:hAnsi="Arial" w:cs="Arial"/>
          <w:b/>
          <w:sz w:val="20"/>
          <w:szCs w:val="20"/>
          <w:vertAlign w:val="superscript"/>
        </w:rPr>
      </w:pPr>
      <w:r>
        <w:rPr/>
        <w:drawing>
          <wp:inline distT="0" distB="0" distL="0" distR="0">
            <wp:extent cx="6221730" cy="1905000"/>
            <wp:effectExtent l="0" t="0" r="0" b="0"/>
            <wp:docPr id="17" name="Attēl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2" descr=""/>
                    <pic:cNvPicPr>
                      <a:picLocks noChangeAspect="1" noChangeArrowheads="1"/>
                    </pic:cNvPicPr>
                  </pic:nvPicPr>
                  <pic:blipFill>
                    <a:blip r:embed="rId18"/>
                    <a:stretch>
                      <a:fillRect/>
                    </a:stretch>
                  </pic:blipFill>
                  <pic:spPr bwMode="auto">
                    <a:xfrm>
                      <a:off x="0" y="0"/>
                      <a:ext cx="6221730" cy="190500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566" w:gutter="0" w:header="708" w:top="1843" w:footer="10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0"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-755015</wp:posOffset>
          </wp:positionH>
          <wp:positionV relativeFrom="paragraph">
            <wp:posOffset>-390525</wp:posOffset>
          </wp:positionV>
          <wp:extent cx="7595235" cy="10734675"/>
          <wp:effectExtent l="0" t="0" r="0" b="0"/>
          <wp:wrapNone/>
          <wp:docPr id="1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-755015</wp:posOffset>
          </wp:positionH>
          <wp:positionV relativeFrom="paragraph">
            <wp:posOffset>-390525</wp:posOffset>
          </wp:positionV>
          <wp:extent cx="7595235" cy="10734675"/>
          <wp:effectExtent l="0" t="0" r="0" b="0"/>
          <wp:wrapNone/>
          <wp:docPr id="1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w="http://schemas.openxmlformats.org/wordprocessingml/2006/main">
  <w:zoom w:percent="19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c8"/>
    <w:pPr>
      <w:widowControl/>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Virsraksts1Rakstz"/>
    <w:uiPriority w:val="9"/>
    <w:qFormat/>
    <w:rsid w:val="008a707c"/>
    <w:pPr>
      <w:keepNext w:val="true"/>
      <w:spacing w:before="240" w:after="60"/>
      <w:outlineLvl w:val="0"/>
    </w:pPr>
    <w:rPr>
      <w:rFonts w:ascii="Cambria" w:hAnsi="Cambria"/>
      <w:b/>
      <w:bCs/>
      <w:kern w:val="2"/>
      <w:sz w:val="32"/>
      <w:szCs w:val="3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11a85"/>
    <w:rPr/>
  </w:style>
  <w:style w:type="character" w:styleId="Virsraksts1Rakstz" w:customStyle="1">
    <w:name w:val="Virsraksts 1 Rakstz."/>
    <w:link w:val="Heading1"/>
    <w:uiPriority w:val="9"/>
    <w:qFormat/>
    <w:rsid w:val="008a707c"/>
    <w:rPr>
      <w:rFonts w:ascii="Cambria" w:hAnsi="Cambria" w:eastAsia="Times New Roman" w:cs="Times New Roman"/>
      <w:b/>
      <w:bCs/>
      <w:kern w:val="2"/>
      <w:sz w:val="32"/>
      <w:szCs w:val="32"/>
    </w:rPr>
  </w:style>
  <w:style w:type="character" w:styleId="NosaukumsRakstz" w:customStyle="1">
    <w:name w:val="Nosaukums Rakstz."/>
    <w:link w:val="Title"/>
    <w:uiPriority w:val="10"/>
    <w:qFormat/>
    <w:rsid w:val="008a707c"/>
    <w:rPr>
      <w:rFonts w:ascii="Cambria" w:hAnsi="Cambria" w:eastAsia="Times New Roman" w:cs="Times New Roman"/>
      <w:b/>
      <w:bCs/>
      <w:kern w:val="2"/>
      <w:sz w:val="32"/>
      <w:szCs w:val="32"/>
    </w:rPr>
  </w:style>
  <w:style w:type="character" w:styleId="KjeneRakstz" w:customStyle="1">
    <w:name w:val="Kājene Rakstz."/>
    <w:basedOn w:val="DefaultParagraphFont"/>
    <w:link w:val="Footer"/>
    <w:uiPriority w:val="99"/>
    <w:qFormat/>
    <w:rsid w:val="006454c4"/>
    <w:rPr>
      <w:sz w:val="24"/>
      <w:szCs w:val="24"/>
      <w:lang w:val="lv-LV" w:eastAsia="lv-LV"/>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a600f5"/>
    <w:pPr>
      <w:tabs>
        <w:tab w:val="clear" w:pos="720"/>
        <w:tab w:val="center" w:pos="4153" w:leader="none"/>
        <w:tab w:val="right" w:pos="8306" w:leader="none"/>
      </w:tabs>
    </w:pPr>
    <w:rPr/>
  </w:style>
  <w:style w:type="paragraph" w:styleId="Footer">
    <w:name w:val="footer"/>
    <w:basedOn w:val="Normal"/>
    <w:link w:val="KjeneRakstz"/>
    <w:uiPriority w:val="99"/>
    <w:rsid w:val="00a600f5"/>
    <w:pPr>
      <w:tabs>
        <w:tab w:val="clear" w:pos="720"/>
        <w:tab w:val="center" w:pos="4153" w:leader="none"/>
        <w:tab w:val="right" w:pos="8306" w:leader="none"/>
      </w:tabs>
    </w:pPr>
    <w:rPr/>
  </w:style>
  <w:style w:type="paragraph" w:styleId="BalloonText">
    <w:name w:val="Balloon Text"/>
    <w:basedOn w:val="Normal"/>
    <w:semiHidden/>
    <w:qFormat/>
    <w:rsid w:val="00e474db"/>
    <w:pPr/>
    <w:rPr>
      <w:rFonts w:ascii="Tahoma" w:hAnsi="Tahoma" w:cs="Tahoma"/>
      <w:sz w:val="16"/>
      <w:szCs w:val="16"/>
    </w:rPr>
  </w:style>
  <w:style w:type="paragraph" w:styleId="Title">
    <w:name w:val="Title"/>
    <w:basedOn w:val="Normal"/>
    <w:next w:val="Normal"/>
    <w:link w:val="NosaukumsRakstz"/>
    <w:uiPriority w:val="10"/>
    <w:qFormat/>
    <w:rsid w:val="008a707c"/>
    <w:pPr>
      <w:spacing w:before="240" w:after="60"/>
      <w:jc w:val="center"/>
      <w:outlineLvl w:val="0"/>
    </w:pPr>
    <w:rPr>
      <w:rFonts w:ascii="Cambria" w:hAnsi="Cambria"/>
      <w:b/>
      <w:bCs/>
      <w:kern w:val="2"/>
      <w:sz w:val="32"/>
      <w:szCs w:val="32"/>
      <w:lang w:val="x-none" w:eastAsia="x-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rsid w:val="00c33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8.png"/>
</Relationships>
</file>

<file path=word/_rels/header3.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Application>LibreOffice/24.8.6.2$Linux_X86_64 LibreOffice_project/480$Build-2</Application>
  <AppVersion>15.0000</AppVersion>
  <Pages>8</Pages>
  <Words>933</Words>
  <Characters>5756</Characters>
  <CharactersWithSpaces>6616</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2026-04-28T07:41:00Z</dcterms:created>
  <dc:creator>Jānis Dzedulis</dc:creator>
  <dc:description/>
  <dc:language>en-US</dc:language>
  <cp:lastModifiedBy/>
  <cp:lastPrinted>2015-02-04T12:58:00Z</cp:lastPrinted>
  <dcterms:modified xsi:type="dcterms:W3CDTF">2026-05-18T10:43:19Z</dcterms:modified>
  <cp:revision>8</cp:revision>
  <dc:subject/>
  <dc:title>Galvenie secinājumi:</dc:title>
</cp:coreProperties>
</file>

<file path=docProps/custom.xml><?xml version="1.0" encoding="utf-8"?>
<Properties xmlns="http://schemas.openxmlformats.org/officeDocument/2006/custom-properties" xmlns:vt="http://schemas.openxmlformats.org/officeDocument/2006/docPropsVTypes"/>
</file>