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8.png" ContentType="image/png"/>
  <Override PartName="/word/media/image15.png" ContentType="image/png"/>
  <Override PartName="/word/media/image1.png" ContentType="image/png"/>
  <Override PartName="/word/media/image14.png" ContentType="image/png"/>
  <Override PartName="/word/media/image5.png" ContentType="image/png"/>
  <Override PartName="/word/media/image6.wmf" ContentType="image/x-wmf"/>
  <Override PartName="/word/media/image10.wmf" ContentType="image/x-wmf"/>
  <Override PartName="/word/media/image7.png" ContentType="image/png"/>
  <Override PartName="/word/media/image16.png" ContentType="image/png"/>
  <Override PartName="/word/media/image11.png" ContentType="image/png"/>
  <Override PartName="/word/media/image2.png" ContentType="image/png"/>
  <Override PartName="/word/media/image17.png" ContentType="image/png"/>
  <Override PartName="/word/media/image8.png" ContentType="image/png"/>
  <Override PartName="/word/media/image1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25"/>
        <w:jc w:val="left"/>
        <w:rPr>
          <w:rFonts w:ascii="Arial" w:hAnsi="Arial" w:cs="Arial"/>
          <w:b/>
          <w:color w:themeColor="text1" w:val="000000"/>
        </w:rPr>
      </w:pPr>
      <w:r>
        <w:rPr>
          <w:rFonts w:cs="Arial" w:ascii="Arial" w:hAnsi="Arial"/>
          <w:b/>
          <w:color w:themeColor="text1" w:val="000000"/>
        </w:rPr>
        <w:t>Sērijveida dzīvokļi, 2026. gada 1. jūlijs</w:t>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sz w:val="20"/>
          <w:szCs w:val="20"/>
        </w:rPr>
      </w:pPr>
      <w:bookmarkStart w:id="0" w:name="_Hlk144912683"/>
      <w:r>
        <w:rPr>
          <w:rFonts w:cs="Arial" w:ascii="Arial" w:hAnsi="Arial"/>
          <w:b/>
          <w:sz w:val="20"/>
          <w:szCs w:val="20"/>
        </w:rPr>
        <w:t>2026. gada jūnijā Rīgas mikrorajonos sērijveida dzīvokļu cenās bija vērojam</w:t>
      </w:r>
      <w:r>
        <w:rPr>
          <w:rFonts w:cs="Arial" w:ascii="Arial" w:hAnsi="Arial"/>
          <w:b/>
          <w:sz w:val="20"/>
          <w:szCs w:val="20"/>
        </w:rPr>
        <w:t>a</w:t>
      </w:r>
      <w:r>
        <w:rPr>
          <w:rFonts w:cs="Arial" w:ascii="Arial" w:hAnsi="Arial"/>
          <w:b/>
          <w:sz w:val="20"/>
          <w:szCs w:val="20"/>
        </w:rPr>
        <w:t>s cenu izmaiņas – mēneša laikā sērijveida dzīvokļu vidējā cena palielinājās par 0,3 %. Sērijveida dzīvokļu vidējā cena jūnijā pieaug</w:t>
      </w:r>
      <w:r>
        <w:rPr>
          <w:rFonts w:cs="Arial" w:ascii="Arial" w:hAnsi="Arial"/>
          <w:b/>
          <w:sz w:val="20"/>
          <w:szCs w:val="20"/>
        </w:rPr>
        <w:t>a</w:t>
      </w:r>
      <w:r>
        <w:rPr>
          <w:rFonts w:cs="Arial" w:ascii="Arial" w:hAnsi="Arial"/>
          <w:b/>
          <w:sz w:val="20"/>
          <w:szCs w:val="20"/>
        </w:rPr>
        <w:t xml:space="preserve"> līdz 959 EUR/m².</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cenu izmaiņas kopš 2026. gada sākuma, %</w:t>
      </w:r>
    </w:p>
    <w:p>
      <w:pPr>
        <w:pStyle w:val="Normal"/>
        <w:ind w:right="425"/>
        <w:jc w:val="both"/>
        <w:rPr>
          <w:rFonts w:ascii="Arial" w:hAnsi="Arial" w:cs="Arial"/>
          <w:b/>
          <w:sz w:val="20"/>
          <w:szCs w:val="20"/>
        </w:rPr>
      </w:pPr>
      <w:r>
        <w:rPr/>
      </w:r>
    </w:p>
    <w:p>
      <w:pPr>
        <w:pStyle w:val="Normal"/>
        <w:ind w:right="425"/>
        <w:jc w:val="both"/>
        <w:rPr>
          <w:rFonts w:ascii="Arial" w:hAnsi="Arial" w:cs="Arial"/>
          <w:b/>
          <w:sz w:val="20"/>
          <w:szCs w:val="20"/>
        </w:rPr>
      </w:pPr>
      <w:r>
        <w:rPr/>
        <w:drawing>
          <wp:inline distT="0" distB="0" distL="0" distR="0">
            <wp:extent cx="6284595" cy="1409065"/>
            <wp:effectExtent l="0" t="0" r="0" b="0"/>
            <wp:docPr id="1" name="Attēls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6" descr=""/>
                    <pic:cNvPicPr>
                      <a:picLocks noChangeAspect="1" noChangeArrowheads="1"/>
                    </pic:cNvPicPr>
                  </pic:nvPicPr>
                  <pic:blipFill>
                    <a:blip r:embed="rId2"/>
                    <a:stretch>
                      <a:fillRect/>
                    </a:stretch>
                  </pic:blipFill>
                  <pic:spPr bwMode="auto">
                    <a:xfrm>
                      <a:off x="0" y="0"/>
                      <a:ext cx="6284595" cy="140906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 xml:space="preserve">Jūnijā konstatētais vidējās cenas pieaugums </w:t>
      </w:r>
      <w:r>
        <w:rPr>
          <w:rFonts w:cs="Arial" w:ascii="Arial" w:hAnsi="Arial"/>
          <w:sz w:val="20"/>
          <w:szCs w:val="20"/>
        </w:rPr>
        <w:t>šogad bija</w:t>
      </w:r>
      <w:r>
        <w:rPr>
          <w:rFonts w:cs="Arial" w:ascii="Arial" w:hAnsi="Arial"/>
          <w:sz w:val="20"/>
          <w:szCs w:val="20"/>
        </w:rPr>
        <w:t xml:space="preserve"> mazākais. Kopumā dzīvokļu cenas kopš 2026. gada sākuma pieaug</w:t>
      </w:r>
      <w:r>
        <w:rPr>
          <w:rFonts w:cs="Arial" w:ascii="Arial" w:hAnsi="Arial"/>
          <w:sz w:val="20"/>
          <w:szCs w:val="20"/>
        </w:rPr>
        <w:t>a</w:t>
      </w:r>
      <w:r>
        <w:rPr>
          <w:rFonts w:cs="Arial" w:ascii="Arial" w:hAnsi="Arial"/>
          <w:sz w:val="20"/>
          <w:szCs w:val="20"/>
        </w:rPr>
        <w:t xml:space="preserve"> </w:t>
      </w:r>
      <w:r>
        <w:rPr>
          <w:rFonts w:cs="Arial" w:ascii="Arial" w:hAnsi="Arial"/>
          <w:sz w:val="20"/>
          <w:szCs w:val="20"/>
        </w:rPr>
        <w:t xml:space="preserve">par </w:t>
      </w:r>
      <w:r>
        <w:rPr>
          <w:rFonts w:cs="Arial" w:ascii="Arial" w:hAnsi="Arial"/>
          <w:sz w:val="20"/>
          <w:szCs w:val="20"/>
        </w:rPr>
        <w:t>vidēji 8 %. Līdz ar to šogad sērijveida dzīvokļu cenu pieaugums ir divas reizes lielāks nekā 2025. gada laikā kopumā.</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bookmarkStart w:id="1" w:name="_Hlk62388575"/>
      <w:bookmarkStart w:id="2" w:name="_Hlk62388575"/>
    </w:p>
    <w:p>
      <w:pPr>
        <w:pStyle w:val="Normal"/>
        <w:ind w:right="425"/>
        <w:jc w:val="both"/>
        <w:rPr>
          <w:rFonts w:ascii="Arial" w:hAnsi="Arial" w:cs="Arial"/>
          <w:sz w:val="20"/>
          <w:szCs w:val="20"/>
        </w:rPr>
      </w:pPr>
      <w:r>
        <w:rPr>
          <w:rFonts w:cs="Arial" w:ascii="Arial" w:hAnsi="Arial"/>
          <w:sz w:val="20"/>
          <w:szCs w:val="20"/>
        </w:rPr>
        <w:t xml:space="preserve">Dzīvokļu piedāvājumu skaits jūnijā samazinājās, kā </w:t>
      </w:r>
      <w:r>
        <w:rPr>
          <w:rFonts w:cs="Arial" w:ascii="Arial" w:hAnsi="Arial"/>
          <w:sz w:val="20"/>
          <w:szCs w:val="20"/>
        </w:rPr>
        <w:t xml:space="preserve">jau </w:t>
      </w:r>
      <w:r>
        <w:rPr>
          <w:rFonts w:cs="Arial" w:ascii="Arial" w:hAnsi="Arial"/>
          <w:sz w:val="20"/>
          <w:szCs w:val="20"/>
        </w:rPr>
        <w:t>tas notiek katru gadu. Kritums n</w:t>
      </w:r>
      <w:r>
        <w:rPr>
          <w:rFonts w:cs="Arial" w:ascii="Arial" w:hAnsi="Arial"/>
          <w:sz w:val="20"/>
          <w:szCs w:val="20"/>
        </w:rPr>
        <w:t>ebija</w:t>
      </w:r>
      <w:r>
        <w:rPr>
          <w:rFonts w:cs="Arial" w:ascii="Arial" w:hAnsi="Arial"/>
          <w:sz w:val="20"/>
          <w:szCs w:val="20"/>
        </w:rPr>
        <w:t xml:space="preserve"> tik straujš kā pērn, tomēr piedāvājums joprojām </w:t>
      </w:r>
      <w:r>
        <w:rPr>
          <w:rFonts w:cs="Arial" w:ascii="Arial" w:hAnsi="Arial"/>
          <w:sz w:val="20"/>
          <w:szCs w:val="20"/>
        </w:rPr>
        <w:t xml:space="preserve">bija </w:t>
      </w:r>
      <w:r>
        <w:rPr>
          <w:rFonts w:cs="Arial" w:ascii="Arial" w:hAnsi="Arial"/>
          <w:sz w:val="20"/>
          <w:szCs w:val="20"/>
        </w:rPr>
        <w:t xml:space="preserve">būtiski zemāks </w:t>
      </w:r>
      <w:r>
        <w:rPr>
          <w:rFonts w:cs="Arial" w:ascii="Arial" w:hAnsi="Arial"/>
          <w:sz w:val="20"/>
          <w:szCs w:val="20"/>
        </w:rPr>
        <w:t>ne</w:t>
      </w:r>
      <w:r>
        <w:rPr>
          <w:rFonts w:cs="Arial" w:ascii="Arial" w:hAnsi="Arial"/>
          <w:sz w:val="20"/>
          <w:szCs w:val="20"/>
        </w:rPr>
        <w:t xml:space="preserve">kā iepriekšējā gadā. 2026. gada jūnijā Rīgas lielākajos mikrorajonos piedāvājumā bija tikai nedaudz virs 1 100 dzīvokļiem. </w:t>
      </w:r>
      <w:bookmarkEnd w:id="2"/>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Rīgas lielāko mikrorajonu dzīvokļu piedāvājuma dinamika</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226175" cy="2726055"/>
            <wp:effectExtent l="0" t="0" r="0" b="0"/>
            <wp:docPr id="2" name="Attēls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4" descr=""/>
                    <pic:cNvPicPr>
                      <a:picLocks noChangeAspect="1" noChangeArrowheads="1"/>
                    </pic:cNvPicPr>
                  </pic:nvPicPr>
                  <pic:blipFill>
                    <a:blip r:embed="rId3"/>
                    <a:stretch>
                      <a:fillRect/>
                    </a:stretch>
                  </pic:blipFill>
                  <pic:spPr bwMode="auto">
                    <a:xfrm>
                      <a:off x="0" y="0"/>
                      <a:ext cx="6226175" cy="272605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 xml:space="preserve">Rīgas lielākajos mikrorajonos kopš 2026. gada sākuma dzīvokļu cenas palielinājušās par 5-12 %. </w:t>
      </w:r>
      <w:r>
        <w:rPr>
          <w:rFonts w:cs="Arial" w:ascii="Arial" w:hAnsi="Arial"/>
          <w:sz w:val="20"/>
          <w:szCs w:val="20"/>
        </w:rPr>
        <w:t>Dzīvokļu cenu l</w:t>
      </w:r>
      <w:r>
        <w:rPr>
          <w:rFonts w:cs="Arial" w:ascii="Arial" w:hAnsi="Arial"/>
          <w:sz w:val="20"/>
          <w:szCs w:val="20"/>
        </w:rPr>
        <w:t xml:space="preserve">ielākās izmaiņas </w:t>
      </w:r>
      <w:r>
        <w:rPr>
          <w:rFonts w:cs="Arial" w:ascii="Arial" w:hAnsi="Arial"/>
          <w:sz w:val="20"/>
          <w:szCs w:val="20"/>
        </w:rPr>
        <w:t xml:space="preserve">tika </w:t>
      </w:r>
      <w:r>
        <w:rPr>
          <w:rFonts w:cs="Arial" w:ascii="Arial" w:hAnsi="Arial"/>
          <w:sz w:val="20"/>
          <w:szCs w:val="20"/>
        </w:rPr>
        <w:t>novēro</w:t>
      </w:r>
      <w:r>
        <w:rPr>
          <w:rFonts w:cs="Arial" w:ascii="Arial" w:hAnsi="Arial"/>
          <w:sz w:val="20"/>
          <w:szCs w:val="20"/>
        </w:rPr>
        <w:t>tas</w:t>
      </w:r>
      <w:r>
        <w:rPr>
          <w:rFonts w:cs="Arial" w:ascii="Arial" w:hAnsi="Arial"/>
          <w:sz w:val="20"/>
          <w:szCs w:val="20"/>
        </w:rPr>
        <w:t xml:space="preserve"> Imantā, kur tās šogad palielinājās par 12 %. Arī Āgenskalnā, Zolitūdē un Pļavniekos šogad sērijveida dzīvokļu cenu pieaugums </w:t>
      </w:r>
      <w:r>
        <w:rPr>
          <w:rFonts w:cs="Arial" w:ascii="Arial" w:hAnsi="Arial"/>
          <w:sz w:val="20"/>
          <w:szCs w:val="20"/>
        </w:rPr>
        <w:t xml:space="preserve">bija </w:t>
      </w:r>
      <w:r>
        <w:rPr>
          <w:rFonts w:cs="Arial" w:ascii="Arial" w:hAnsi="Arial"/>
          <w:sz w:val="20"/>
          <w:szCs w:val="20"/>
        </w:rPr>
        <w:t xml:space="preserve">salīdzinoši lielāks </w:t>
      </w:r>
      <w:r>
        <w:rPr>
          <w:rFonts w:cs="Arial" w:ascii="Arial" w:hAnsi="Arial"/>
          <w:sz w:val="20"/>
          <w:szCs w:val="20"/>
        </w:rPr>
        <w:t>ne</w:t>
      </w:r>
      <w:r>
        <w:rPr>
          <w:rFonts w:cs="Arial" w:ascii="Arial" w:hAnsi="Arial"/>
          <w:sz w:val="20"/>
          <w:szCs w:val="20"/>
        </w:rPr>
        <w:t>kā citos mikrorajonos – cenas vidēji palielinājās par 9 %. Pārējos Rīgas mikrorajonos cenu izmaiņas šogad nepārsniedz</w:t>
      </w:r>
      <w:r>
        <w:rPr>
          <w:rFonts w:cs="Arial" w:ascii="Arial" w:hAnsi="Arial"/>
          <w:sz w:val="20"/>
          <w:szCs w:val="20"/>
        </w:rPr>
        <w:t>a</w:t>
      </w:r>
      <w:r>
        <w:rPr>
          <w:rFonts w:cs="Arial" w:ascii="Arial" w:hAnsi="Arial"/>
          <w:sz w:val="20"/>
          <w:szCs w:val="20"/>
        </w:rPr>
        <w:t xml:space="preserve"> 8 %. Vismazākās izmaiņas </w:t>
      </w:r>
      <w:r>
        <w:rPr>
          <w:rFonts w:cs="Arial" w:ascii="Arial" w:hAnsi="Arial"/>
          <w:sz w:val="20"/>
          <w:szCs w:val="20"/>
        </w:rPr>
        <w:t>cenās tika no</w:t>
      </w:r>
      <w:r>
        <w:rPr>
          <w:rFonts w:cs="Arial" w:ascii="Arial" w:hAnsi="Arial"/>
          <w:sz w:val="20"/>
          <w:szCs w:val="20"/>
        </w:rPr>
        <w:t>vēro</w:t>
      </w:r>
      <w:r>
        <w:rPr>
          <w:rFonts w:cs="Arial" w:ascii="Arial" w:hAnsi="Arial"/>
          <w:sz w:val="20"/>
          <w:szCs w:val="20"/>
        </w:rPr>
        <w:t>tas</w:t>
      </w:r>
      <w:r>
        <w:rPr>
          <w:rFonts w:cs="Arial" w:ascii="Arial" w:hAnsi="Arial"/>
          <w:sz w:val="20"/>
          <w:szCs w:val="20"/>
        </w:rPr>
        <w:t xml:space="preserve"> cenu ziņā lētākajā mikrorajonā – Bolderājā, kā arī dārgākajā mikrorajonā – </w:t>
      </w:r>
      <w:r>
        <w:rPr>
          <w:rFonts w:cs="Arial" w:ascii="Arial" w:hAnsi="Arial"/>
          <w:sz w:val="20"/>
          <w:szCs w:val="20"/>
        </w:rPr>
        <w:t>T</w:t>
      </w:r>
      <w:r>
        <w:rPr>
          <w:rFonts w:cs="Arial" w:ascii="Arial" w:hAnsi="Arial"/>
          <w:sz w:val="20"/>
          <w:szCs w:val="20"/>
        </w:rPr>
        <w:t>eikā. Abos šajos rajonos dzīvokļu cenu pieaugums bija vidēji 5 %.</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Dzīvokļu cenu izmaiņas Rīgas lielākajos mikrorajonos kopš 2026. gada 1. janvāra, %</w:t>
      </w:r>
    </w:p>
    <w:p>
      <w:pPr>
        <w:pStyle w:val="Normal"/>
        <w:ind w:firstLine="1080" w:left="-1080" w:right="425"/>
        <w:jc w:val="both"/>
        <w:rPr>
          <w:rFonts w:ascii="Arial" w:hAnsi="Arial" w:cs="Arial"/>
          <w:sz w:val="20"/>
          <w:szCs w:val="20"/>
        </w:rPr>
      </w:pPr>
      <w:r>
        <w:rPr/>
      </w:r>
    </w:p>
    <w:p>
      <w:pPr>
        <w:pStyle w:val="Normal"/>
        <w:ind w:firstLine="1080" w:left="-1080" w:right="425"/>
        <w:jc w:val="both"/>
        <w:rPr>
          <w:rFonts w:ascii="Arial" w:hAnsi="Arial" w:cs="Arial"/>
          <w:sz w:val="20"/>
          <w:szCs w:val="20"/>
        </w:rPr>
      </w:pPr>
      <w:r>
        <w:rPr/>
        <w:drawing>
          <wp:inline distT="0" distB="0" distL="0" distR="0">
            <wp:extent cx="6263005" cy="2548890"/>
            <wp:effectExtent l="0" t="0" r="0" b="0"/>
            <wp:docPr id="3" name="Attēls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5" descr=""/>
                    <pic:cNvPicPr>
                      <a:picLocks noChangeAspect="1" noChangeArrowheads="1"/>
                    </pic:cNvPicPr>
                  </pic:nvPicPr>
                  <pic:blipFill>
                    <a:blip r:embed="rId4"/>
                    <a:stretch>
                      <a:fillRect/>
                    </a:stretch>
                  </pic:blipFill>
                  <pic:spPr bwMode="auto">
                    <a:xfrm>
                      <a:off x="0" y="0"/>
                      <a:ext cx="6263005" cy="254889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bookmarkStart w:id="3" w:name="OLE_LINK6"/>
      <w:bookmarkStart w:id="4" w:name="OLE_LINK5"/>
      <w:bookmarkStart w:id="5" w:name="OLE_LINK6"/>
      <w:bookmarkStart w:id="6" w:name="OLE_LINK5"/>
    </w:p>
    <w:p>
      <w:pPr>
        <w:pStyle w:val="Normal"/>
        <w:ind w:right="425"/>
        <w:jc w:val="both"/>
        <w:rPr>
          <w:color w:val="808080"/>
        </w:rPr>
      </w:pPr>
      <w:bookmarkStart w:id="7" w:name="OLE_LINK6"/>
      <w:bookmarkStart w:id="8" w:name="OLE_LINK5"/>
      <w:r>
        <w:rPr>
          <w:rFonts w:cs="Arial" w:ascii="Arial" w:hAnsi="Arial"/>
          <w:iCs/>
          <w:color w:val="808080"/>
          <w:sz w:val="16"/>
          <w:szCs w:val="16"/>
        </w:rPr>
        <w:t>Avots: ARCO REAL ESTATE</w:t>
      </w:r>
      <w:bookmarkEnd w:id="7"/>
      <w:bookmarkEnd w:id="8"/>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Jūnijā sērijveida dzīvokļu vidējā cena palielinājās līdz 959 EUR/m². Cenas bija par vidēji 41 % zemākas nekā 2007. gada 1. jūlijā, kad neremontēta sērijveida dzīvokļa vidējā cena sasniedza visu laiku augstāko atzīmi – 1 620 EUR/m².</w:t>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t>Rīgas lielāko mikrorajonu sērijveida dzīvokļu vidējās cenas dinamika, EUR/m²</w:t>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223635" cy="2459990"/>
            <wp:effectExtent l="0" t="0" r="0" b="0"/>
            <wp:docPr id="4" name="Attēls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14" descr=""/>
                    <pic:cNvPicPr>
                      <a:picLocks noChangeAspect="1" noChangeArrowheads="1"/>
                    </pic:cNvPicPr>
                  </pic:nvPicPr>
                  <pic:blipFill>
                    <a:blip r:embed="rId5"/>
                    <a:stretch>
                      <a:fillRect/>
                    </a:stretch>
                  </pic:blipFill>
                  <pic:spPr bwMode="auto">
                    <a:xfrm>
                      <a:off x="0" y="0"/>
                      <a:ext cx="6223635" cy="2459990"/>
                    </a:xfrm>
                    <a:prstGeom prst="rect">
                      <a:avLst/>
                    </a:prstGeom>
                    <a:noFill/>
                  </pic:spPr>
                </pic:pic>
              </a:graphicData>
            </a:graphic>
          </wp:inline>
        </w:drawing>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Rīgas mikrorajonu sērijveida dzīvokļu cenu izmaiņas, %</w:t>
      </w:r>
    </w:p>
    <w:p>
      <w:pPr>
        <w:pStyle w:val="Normal"/>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181725" cy="37858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6181725" cy="378587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bookmarkStart w:id="9" w:name="_Hlk144912683"/>
      <w:r>
        <w:rPr>
          <w:rFonts w:cs="Arial" w:ascii="Arial" w:hAnsi="Arial"/>
          <w:iCs/>
          <w:color w:val="808080"/>
          <w:sz w:val="16"/>
          <w:szCs w:val="16"/>
        </w:rPr>
        <w:t>Avots: ARCO REAL ESTATE</w:t>
      </w:r>
      <w:bookmarkEnd w:id="9"/>
    </w:p>
    <w:p>
      <w:pPr>
        <w:pStyle w:val="Normal"/>
        <w:tabs>
          <w:tab w:val="clear" w:pos="720"/>
          <w:tab w:val="left" w:pos="975" w:leader="none"/>
        </w:tabs>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Sērijveida dzīvokļu viena kvadrātmetra vidējā cena jūnijā palielinājās vienas istabas dzīvokļiem (+0,2 %), divu istabu dzīvokļiem (+0,1 %), trīs istabu dzīvokļiem (+0,5 %) un četru istabu dzīvokļiem (+0,1 %). Kopš šī gada sākuma visvairāk palielināj</w:t>
      </w:r>
      <w:r>
        <w:rPr>
          <w:rFonts w:cs="Arial" w:ascii="Arial" w:hAnsi="Arial"/>
          <w:sz w:val="20"/>
          <w:szCs w:val="20"/>
        </w:rPr>
        <w:t>ā</w:t>
      </w:r>
      <w:r>
        <w:rPr>
          <w:rFonts w:cs="Arial" w:ascii="Arial" w:hAnsi="Arial"/>
          <w:sz w:val="20"/>
          <w:szCs w:val="20"/>
        </w:rPr>
        <w:t>s divistabu dzīvokļu cena (+8,7 %).</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rPr>
          <w:rFonts w:ascii="Arial" w:hAnsi="Arial" w:cs="Arial"/>
          <w:b/>
          <w:sz w:val="20"/>
          <w:szCs w:val="20"/>
        </w:rPr>
      </w:pPr>
      <w:r>
        <w:rPr>
          <w:rFonts w:cs="Arial" w:ascii="Arial" w:hAnsi="Arial"/>
          <w:b/>
          <w:sz w:val="20"/>
          <w:szCs w:val="20"/>
        </w:rPr>
        <w:t>Sērijveida dzīvokļu vidējās cenas Rīgas mikrorajonos dalījumā pēc istabu skaita, EUR/m²</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drawing>
          <wp:inline distT="0" distB="0" distL="0" distR="0">
            <wp:extent cx="6305550" cy="1687195"/>
            <wp:effectExtent l="0" t="0" r="0" b="0"/>
            <wp:docPr id="6" name="Attēls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13" descr=""/>
                    <pic:cNvPicPr>
                      <a:picLocks noChangeAspect="1" noChangeArrowheads="1"/>
                    </pic:cNvPicPr>
                  </pic:nvPicPr>
                  <pic:blipFill>
                    <a:blip r:embed="rId7"/>
                    <a:stretch>
                      <a:fillRect/>
                    </a:stretch>
                  </pic:blipFill>
                  <pic:spPr bwMode="auto">
                    <a:xfrm>
                      <a:off x="0" y="0"/>
                      <a:ext cx="6305550" cy="168719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Salīdzinot ar iepriekšējo mēnesi, jūnijā dzīvokļu piedāvājums Rīgā samazināj</w:t>
      </w:r>
      <w:r>
        <w:rPr>
          <w:rFonts w:cs="Arial" w:ascii="Arial" w:hAnsi="Arial"/>
          <w:sz w:val="20"/>
          <w:szCs w:val="20"/>
        </w:rPr>
        <w:t>ā</w:t>
      </w:r>
      <w:r>
        <w:rPr>
          <w:rFonts w:cs="Arial" w:ascii="Arial" w:hAnsi="Arial"/>
          <w:sz w:val="20"/>
          <w:szCs w:val="20"/>
        </w:rPr>
        <w:t>s par 4 %. Piedāvājumu skaits “</w:t>
      </w:r>
      <w:r>
        <w:rPr>
          <w:rFonts w:cs="Arial" w:ascii="Arial" w:hAnsi="Arial"/>
          <w:iCs/>
          <w:sz w:val="20"/>
          <w:szCs w:val="20"/>
        </w:rPr>
        <w:t>ARCO REAL ESTATE”</w:t>
      </w:r>
      <w:r>
        <w:rPr>
          <w:rFonts w:cs="Arial" w:ascii="Arial" w:hAnsi="Arial"/>
          <w:sz w:val="20"/>
          <w:szCs w:val="20"/>
        </w:rPr>
        <w:t xml:space="preserve"> analizētajos Rīgas lielākajos mikrorajonos arī samazināj</w:t>
      </w:r>
      <w:r>
        <w:rPr>
          <w:rFonts w:cs="Arial" w:ascii="Arial" w:hAnsi="Arial"/>
          <w:sz w:val="20"/>
          <w:szCs w:val="20"/>
        </w:rPr>
        <w:t>ā</w:t>
      </w:r>
      <w:r>
        <w:rPr>
          <w:rFonts w:cs="Arial" w:ascii="Arial" w:hAnsi="Arial"/>
          <w:sz w:val="20"/>
          <w:szCs w:val="20"/>
        </w:rPr>
        <w:t xml:space="preserve">s, </w:t>
      </w:r>
      <w:r>
        <w:rPr>
          <w:rFonts w:cs="Arial" w:ascii="Arial" w:hAnsi="Arial"/>
          <w:sz w:val="20"/>
          <w:szCs w:val="20"/>
        </w:rPr>
        <w:t xml:space="preserve">proti, </w:t>
      </w:r>
      <w:r>
        <w:rPr>
          <w:rFonts w:cs="Arial" w:ascii="Arial" w:hAnsi="Arial"/>
          <w:sz w:val="20"/>
          <w:szCs w:val="20"/>
        </w:rPr>
        <w:t xml:space="preserve">par 2 %. Salīdzinot ar 2025. gada jūniju, dzīvokļu piedāvājums </w:t>
      </w:r>
      <w:r>
        <w:rPr>
          <w:rFonts w:cs="Arial" w:ascii="Arial" w:hAnsi="Arial"/>
          <w:sz w:val="20"/>
          <w:szCs w:val="20"/>
        </w:rPr>
        <w:t xml:space="preserve">šī gada jūnijā kopumā bija </w:t>
      </w:r>
      <w:r>
        <w:rPr>
          <w:rFonts w:cs="Arial" w:ascii="Arial" w:hAnsi="Arial"/>
          <w:sz w:val="20"/>
          <w:szCs w:val="20"/>
        </w:rPr>
        <w:t xml:space="preserve">mazāks: dzīvokļu piedāvājumu kopējais skaits </w:t>
      </w:r>
      <w:r>
        <w:rPr>
          <w:rFonts w:cs="Arial" w:ascii="Arial" w:hAnsi="Arial"/>
          <w:sz w:val="20"/>
          <w:szCs w:val="20"/>
        </w:rPr>
        <w:t>bija</w:t>
      </w:r>
      <w:r>
        <w:rPr>
          <w:rFonts w:cs="Arial" w:ascii="Arial" w:hAnsi="Arial"/>
          <w:sz w:val="20"/>
          <w:szCs w:val="20"/>
        </w:rPr>
        <w:t xml:space="preserve"> par 15 % mazāks, bet lielāko mikrorajonu dzīvokļu piedāvājums </w:t>
      </w:r>
      <w:r>
        <w:rPr>
          <w:rFonts w:cs="Arial" w:ascii="Arial" w:hAnsi="Arial"/>
          <w:sz w:val="20"/>
          <w:szCs w:val="20"/>
        </w:rPr>
        <w:t xml:space="preserve">bija </w:t>
      </w:r>
      <w:r>
        <w:rPr>
          <w:rFonts w:cs="Arial" w:ascii="Arial" w:hAnsi="Arial"/>
          <w:sz w:val="20"/>
          <w:szCs w:val="20"/>
        </w:rPr>
        <w:t>mazāks par 23 %.</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Dzīvokļu piedāvājuma dinamika Rīgā</w:t>
      </w:r>
    </w:p>
    <w:p>
      <w:pPr>
        <w:pStyle w:val="Normal"/>
        <w:spacing w:before="0" w:after="0"/>
        <w:ind w:right="425"/>
        <w:jc w:val="both"/>
        <w:rPr>
          <w:rFonts w:ascii="Arial" w:hAnsi="Arial" w:cs="Arial"/>
          <w:b/>
          <w:sz w:val="20"/>
          <w:szCs w:val="20"/>
        </w:rPr>
      </w:pPr>
      <w:r>
        <w:rPr/>
      </w:r>
    </w:p>
    <w:p>
      <w:pPr>
        <w:pStyle w:val="Normal"/>
        <w:ind w:right="425"/>
        <w:jc w:val="both"/>
        <w:rPr>
          <w:rFonts w:ascii="Arial" w:hAnsi="Arial" w:cs="Arial"/>
          <w:b/>
          <w:sz w:val="20"/>
          <w:szCs w:val="20"/>
        </w:rPr>
      </w:pPr>
      <w:r>
        <w:rPr/>
        <w:drawing>
          <wp:inline distT="0" distB="0" distL="0" distR="0">
            <wp:extent cx="6268720" cy="2220595"/>
            <wp:effectExtent l="0" t="0" r="0" b="0"/>
            <wp:docPr id="7" name="Attēl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2" descr=""/>
                    <pic:cNvPicPr>
                      <a:picLocks noChangeAspect="1" noChangeArrowheads="1"/>
                    </pic:cNvPicPr>
                  </pic:nvPicPr>
                  <pic:blipFill>
                    <a:blip r:embed="rId8"/>
                    <a:stretch>
                      <a:fillRect/>
                    </a:stretch>
                  </pic:blipFill>
                  <pic:spPr bwMode="auto">
                    <a:xfrm>
                      <a:off x="0" y="0"/>
                      <a:ext cx="6268720" cy="2220595"/>
                    </a:xfrm>
                    <a:prstGeom prst="rect">
                      <a:avLst/>
                    </a:prstGeom>
                    <a:noFill/>
                  </pic:spPr>
                </pic:pic>
              </a:graphicData>
            </a:graphic>
          </wp:inline>
        </w:drawing>
      </w:r>
    </w:p>
    <w:p>
      <w:pPr>
        <w:pStyle w:val="Normal"/>
        <w:ind w:right="425"/>
        <w:jc w:val="both"/>
        <w:rPr>
          <w:rFonts w:ascii="Arial" w:hAnsi="Arial" w:cs="Arial"/>
          <w:i/>
          <w:i/>
          <w:sz w:val="10"/>
          <w:szCs w:val="10"/>
        </w:rPr>
      </w:pPr>
      <w:r>
        <w:rPr>
          <w:rFonts w:cs="Arial" w:ascii="Arial" w:hAnsi="Arial"/>
          <w:i/>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Apkopojot dzīvokļu piedāvājumu skaitu Rīgas mikrorajonos, var secināt, ka vislielākais piedāvājumu skaits jūnijā joprojām bija Āgenskalnā, savukārt vismazākais – Bolderājā.</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Dzīvokļu piedāvājumu skaits Rīgā 2026. gada jūnija beigās</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4810125" cy="3529965"/>
            <wp:effectExtent l="0" t="0" r="0" b="0"/>
            <wp:docPr id="8"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1" descr=""/>
                    <pic:cNvPicPr>
                      <a:picLocks noChangeAspect="1" noChangeArrowheads="1"/>
                    </pic:cNvPicPr>
                  </pic:nvPicPr>
                  <pic:blipFill>
                    <a:blip r:embed="rId9"/>
                    <a:stretch>
                      <a:fillRect/>
                    </a:stretch>
                  </pic:blipFill>
                  <pic:spPr bwMode="auto">
                    <a:xfrm>
                      <a:off x="0" y="0"/>
                      <a:ext cx="4810125" cy="352996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Jūnijā Rīgas lielākajos mikrorajonos dzīvokļu piedāvājumu skaits gan palielināj</w:t>
      </w:r>
      <w:r>
        <w:rPr>
          <w:rFonts w:cs="Arial" w:ascii="Arial" w:hAnsi="Arial"/>
          <w:sz w:val="20"/>
          <w:szCs w:val="20"/>
        </w:rPr>
        <w:t>ā</w:t>
      </w:r>
      <w:r>
        <w:rPr>
          <w:rFonts w:cs="Arial" w:ascii="Arial" w:hAnsi="Arial"/>
          <w:sz w:val="20"/>
          <w:szCs w:val="20"/>
        </w:rPr>
        <w:t>s, gan samazināj</w:t>
      </w:r>
      <w:r>
        <w:rPr>
          <w:rFonts w:cs="Arial" w:ascii="Arial" w:hAnsi="Arial"/>
          <w:sz w:val="20"/>
          <w:szCs w:val="20"/>
        </w:rPr>
        <w:t>ā</w:t>
      </w:r>
      <w:r>
        <w:rPr>
          <w:rFonts w:cs="Arial" w:ascii="Arial" w:hAnsi="Arial"/>
          <w:sz w:val="20"/>
          <w:szCs w:val="20"/>
        </w:rPr>
        <w:t>s. Tomēr kopumā piedāvājum</w:t>
      </w:r>
      <w:r>
        <w:rPr>
          <w:rFonts w:cs="Arial" w:ascii="Arial" w:hAnsi="Arial"/>
          <w:sz w:val="20"/>
          <w:szCs w:val="20"/>
        </w:rPr>
        <w:t>u</w:t>
      </w:r>
      <w:r>
        <w:rPr>
          <w:rFonts w:cs="Arial" w:ascii="Arial" w:hAnsi="Arial"/>
          <w:sz w:val="20"/>
          <w:szCs w:val="20"/>
        </w:rPr>
        <w:t xml:space="preserve"> skaits </w:t>
      </w:r>
      <w:r>
        <w:rPr>
          <w:rFonts w:cs="Arial" w:ascii="Arial" w:hAnsi="Arial"/>
          <w:sz w:val="20"/>
          <w:szCs w:val="20"/>
        </w:rPr>
        <w:t>bija</w:t>
      </w:r>
      <w:r>
        <w:rPr>
          <w:rFonts w:cs="Arial" w:ascii="Arial" w:hAnsi="Arial"/>
          <w:sz w:val="20"/>
          <w:szCs w:val="20"/>
        </w:rPr>
        <w:t xml:space="preserve"> zemāks nekā pagājušajā mēnesī. Visvairāk piedāvājumu skaits jūnijā palielinājās Ziepniekkalnā (+15 %), </w:t>
      </w:r>
      <w:r>
        <w:rPr>
          <w:rFonts w:cs="Arial" w:ascii="Arial" w:hAnsi="Arial"/>
          <w:sz w:val="20"/>
          <w:szCs w:val="20"/>
        </w:rPr>
        <w:t xml:space="preserve">tikmēr </w:t>
      </w:r>
      <w:r>
        <w:rPr>
          <w:rFonts w:cs="Arial" w:ascii="Arial" w:hAnsi="Arial"/>
          <w:sz w:val="20"/>
          <w:szCs w:val="20"/>
        </w:rPr>
        <w:t>visvairāk samazināj</w:t>
      </w:r>
      <w:r>
        <w:rPr>
          <w:rFonts w:cs="Arial" w:ascii="Arial" w:hAnsi="Arial"/>
          <w:sz w:val="20"/>
          <w:szCs w:val="20"/>
        </w:rPr>
        <w:t>ā</w:t>
      </w:r>
      <w:r>
        <w:rPr>
          <w:rFonts w:cs="Arial" w:ascii="Arial" w:hAnsi="Arial"/>
          <w:sz w:val="20"/>
          <w:szCs w:val="20"/>
        </w:rPr>
        <w:t xml:space="preserve">s Mežciemā (-23 %). </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Jūnijā, analizējot piedāvājum</w:t>
      </w:r>
      <w:r>
        <w:rPr>
          <w:rFonts w:cs="Arial" w:ascii="Arial" w:hAnsi="Arial"/>
          <w:sz w:val="20"/>
          <w:szCs w:val="20"/>
        </w:rPr>
        <w:t>u</w:t>
      </w:r>
      <w:r>
        <w:rPr>
          <w:rFonts w:cs="Arial" w:ascii="Arial" w:hAnsi="Arial"/>
          <w:sz w:val="20"/>
          <w:szCs w:val="20"/>
        </w:rPr>
        <w:t xml:space="preserve"> skaitu proporcionāli mikrorajona lielumam, </w:t>
      </w:r>
      <w:r>
        <w:rPr>
          <w:rFonts w:cs="Arial" w:ascii="Arial" w:hAnsi="Arial"/>
          <w:sz w:val="20"/>
          <w:szCs w:val="20"/>
        </w:rPr>
        <w:t>tas ir, p</w:t>
      </w:r>
      <w:r>
        <w:rPr>
          <w:rFonts w:cs="Arial" w:ascii="Arial" w:hAnsi="Arial"/>
          <w:sz w:val="20"/>
          <w:szCs w:val="20"/>
        </w:rPr>
        <w:t>ēc iedzīvotāju skaita, vislielākais piedāvājums konstatēts Āgenskalnā. Savukārt Bolderājā piedāvājumu skaits bija proporcionāli vismazākais.</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 xml:space="preserve">Dzīvokļu piedāvājums proporcionāli Rīgas mikrorajonu lielumam 2026. gada jūnijā </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sz w:val="20"/>
          <w:szCs w:val="20"/>
        </w:rPr>
      </w:pPr>
      <w:r>
        <w:rPr/>
        <w:drawing>
          <wp:inline distT="0" distB="0" distL="0" distR="0">
            <wp:extent cx="4694555" cy="3481070"/>
            <wp:effectExtent l="0" t="0" r="0" b="0"/>
            <wp:docPr id="9" name="Attēls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3" descr=""/>
                    <pic:cNvPicPr>
                      <a:picLocks noChangeAspect="1" noChangeArrowheads="1"/>
                    </pic:cNvPicPr>
                  </pic:nvPicPr>
                  <pic:blipFill>
                    <a:blip r:embed="rId10"/>
                    <a:stretch>
                      <a:fillRect/>
                    </a:stretch>
                  </pic:blipFill>
                  <pic:spPr bwMode="auto">
                    <a:xfrm>
                      <a:off x="0" y="0"/>
                      <a:ext cx="4694555" cy="348107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Jūnijā Rīgas mikrorajonos sērijveida dzīvokļu cenās varēja novērot izmaiņas. Visos Rīgas lielākajos mikrorajonos, izņemot Purvciemu un Zolitūdi, varēja novērot dzīvokļu vidējās cenas izmaiņas. Lielākais vidējās cenas pieaugums novērots Āgenskalnā, kur cenas mēneša laikā pieauga par 0,8 %. Jūnijā Vecmīlgrāvī un Bolderājā dzīvokļ</w:t>
      </w:r>
      <w:r>
        <w:rPr>
          <w:rFonts w:cs="Arial" w:ascii="Arial" w:hAnsi="Arial"/>
          <w:sz w:val="20"/>
          <w:szCs w:val="20"/>
        </w:rPr>
        <w:t>u</w:t>
      </w:r>
      <w:r>
        <w:rPr>
          <w:rFonts w:cs="Arial" w:ascii="Arial" w:hAnsi="Arial"/>
          <w:sz w:val="20"/>
          <w:szCs w:val="20"/>
        </w:rPr>
        <w:t xml:space="preserve"> kvadrātmetra vidējā cena nedaudz samazināj</w:t>
      </w:r>
      <w:r>
        <w:rPr>
          <w:rFonts w:cs="Arial" w:ascii="Arial" w:hAnsi="Arial"/>
          <w:sz w:val="20"/>
          <w:szCs w:val="20"/>
        </w:rPr>
        <w:t>ā</w:t>
      </w:r>
      <w:r>
        <w:rPr>
          <w:rFonts w:cs="Arial" w:ascii="Arial" w:hAnsi="Arial"/>
          <w:sz w:val="20"/>
          <w:szCs w:val="20"/>
        </w:rPr>
        <w:t>s.</w:t>
      </w:r>
    </w:p>
    <w:p>
      <w:pPr>
        <w:pStyle w:val="Normal"/>
        <w:ind w:right="425"/>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rPr>
          <w:rFonts w:ascii="Arial" w:hAnsi="Arial" w:cs="Arial"/>
          <w:b/>
          <w:sz w:val="20"/>
          <w:szCs w:val="20"/>
        </w:rPr>
      </w:pPr>
      <w:r>
        <w:rPr>
          <w:rFonts w:cs="Arial" w:ascii="Arial" w:hAnsi="Arial"/>
          <w:b/>
          <w:sz w:val="20"/>
          <w:szCs w:val="20"/>
        </w:rPr>
        <w:t>Sērijveida dzīvokļu kvadrātmetra vidējās cenas izmaiņas Rīgas mikrorajonos, %</w:t>
      </w:r>
    </w:p>
    <w:p>
      <w:pPr>
        <w:pStyle w:val="Normal"/>
        <w:ind w:right="425"/>
        <w:rPr>
          <w:rFonts w:ascii="Arial" w:hAnsi="Arial" w:cs="Arial"/>
          <w:b/>
          <w:sz w:val="20"/>
          <w:szCs w:val="20"/>
        </w:rPr>
      </w:pPr>
      <w:r>
        <w:rPr>
          <w:rFonts w:cs="Arial" w:ascii="Arial" w:hAnsi="Arial"/>
          <w:b/>
          <w:sz w:val="20"/>
          <w:szCs w:val="20"/>
        </w:rPr>
      </w:r>
    </w:p>
    <w:p>
      <w:pPr>
        <w:pStyle w:val="Normal"/>
        <w:ind w:right="425"/>
        <w:jc w:val="both"/>
        <w:rPr/>
      </w:pPr>
      <w:r>
        <w:rPr/>
        <w:drawing>
          <wp:inline distT="0" distB="0" distL="0" distR="0">
            <wp:extent cx="4841875" cy="2720975"/>
            <wp:effectExtent l="0" t="0" r="0" b="0"/>
            <wp:docPr id="10" name="Attēls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2" descr=""/>
                    <pic:cNvPicPr>
                      <a:picLocks noChangeAspect="1" noChangeArrowheads="1"/>
                    </pic:cNvPicPr>
                  </pic:nvPicPr>
                  <pic:blipFill>
                    <a:blip r:embed="rId11"/>
                    <a:stretch>
                      <a:fillRect/>
                    </a:stretch>
                  </pic:blipFill>
                  <pic:spPr bwMode="auto">
                    <a:xfrm>
                      <a:off x="0" y="0"/>
                      <a:ext cx="4841875" cy="272097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 xml:space="preserve">Salīdzinot ar 2026. gada sākumu, </w:t>
      </w:r>
      <w:r>
        <w:rPr>
          <w:rFonts w:cs="Arial" w:ascii="Arial" w:hAnsi="Arial"/>
          <w:sz w:val="20"/>
          <w:szCs w:val="20"/>
        </w:rPr>
        <w:t xml:space="preserve">šī </w:t>
      </w:r>
      <w:r>
        <w:rPr>
          <w:rFonts w:cs="Arial" w:ascii="Arial" w:hAnsi="Arial"/>
          <w:sz w:val="20"/>
          <w:szCs w:val="20"/>
        </w:rPr>
        <w:t xml:space="preserve">gada jūnijā visos Rīgas lielākajos mikrorajonos sērijveida dzīvokļu cenas </w:t>
      </w:r>
      <w:r>
        <w:rPr>
          <w:rFonts w:cs="Arial" w:ascii="Arial" w:hAnsi="Arial"/>
          <w:sz w:val="20"/>
          <w:szCs w:val="20"/>
        </w:rPr>
        <w:t>bija</w:t>
      </w:r>
      <w:r>
        <w:rPr>
          <w:rFonts w:cs="Arial" w:ascii="Arial" w:hAnsi="Arial"/>
          <w:sz w:val="20"/>
          <w:szCs w:val="20"/>
        </w:rPr>
        <w:t xml:space="preserve"> augstākas. </w:t>
      </w:r>
      <w:r>
        <w:rPr>
          <w:rFonts w:cs="Arial" w:ascii="Arial" w:hAnsi="Arial"/>
          <w:sz w:val="20"/>
          <w:szCs w:val="20"/>
        </w:rPr>
        <w:t>D</w:t>
      </w:r>
      <w:r>
        <w:rPr>
          <w:rFonts w:cs="Arial" w:ascii="Arial" w:hAnsi="Arial"/>
          <w:sz w:val="20"/>
          <w:szCs w:val="20"/>
        </w:rPr>
        <w:t xml:space="preserve">zīvokļa kvadrātmetra </w:t>
      </w:r>
      <w:r>
        <w:rPr>
          <w:rFonts w:cs="Arial" w:ascii="Arial" w:hAnsi="Arial"/>
          <w:sz w:val="20"/>
          <w:szCs w:val="20"/>
        </w:rPr>
        <w:t>a</w:t>
      </w:r>
      <w:r>
        <w:rPr>
          <w:rFonts w:cs="Arial" w:ascii="Arial" w:hAnsi="Arial"/>
          <w:sz w:val="20"/>
          <w:szCs w:val="20"/>
        </w:rPr>
        <w:t>ugstākā vidējā cena bija Teikā, bet viszemākā – joprojām Bolderājā.</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EUR/m²</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283325" cy="2275840"/>
            <wp:effectExtent l="0" t="0" r="0" b="0"/>
            <wp:docPr id="11" name="Attēls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
                    <pic:cNvPicPr>
                      <a:picLocks noChangeAspect="1" noChangeArrowheads="1"/>
                    </pic:cNvPicPr>
                  </pic:nvPicPr>
                  <pic:blipFill>
                    <a:blip r:embed="rId12"/>
                    <a:stretch>
                      <a:fillRect/>
                    </a:stretch>
                  </pic:blipFill>
                  <pic:spPr bwMode="auto">
                    <a:xfrm>
                      <a:off x="0" y="0"/>
                      <a:ext cx="6283325" cy="2275840"/>
                    </a:xfrm>
                    <a:prstGeom prst="rect">
                      <a:avLst/>
                    </a:prstGeom>
                    <a:noFill/>
                  </pic:spPr>
                </pic:pic>
              </a:graphicData>
            </a:graphic>
          </wp:inline>
        </w:drawing>
      </w:r>
    </w:p>
    <w:p>
      <w:pPr>
        <w:pStyle w:val="Normal"/>
        <w:ind w:right="425"/>
        <w:jc w:val="both"/>
        <w:rPr>
          <w:rFonts w:ascii="Arial" w:hAnsi="Arial" w:cs="Arial"/>
          <w:sz w:val="10"/>
          <w:szCs w:val="10"/>
        </w:rPr>
      </w:pPr>
      <w:r>
        <w:rPr>
          <w:rFonts w:cs="Arial" w:ascii="Arial" w:hAnsi="Arial"/>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sz w:val="20"/>
          <w:szCs w:val="20"/>
        </w:rPr>
      </w:pPr>
      <w:bookmarkStart w:id="10" w:name="OLE_LINK8"/>
      <w:bookmarkStart w:id="11" w:name="OLE_LINK7"/>
      <w:r>
        <w:rPr>
          <w:rFonts w:cs="Arial" w:ascii="Arial" w:hAnsi="Arial"/>
          <w:sz w:val="20"/>
          <w:szCs w:val="20"/>
        </w:rPr>
        <w:t>Sērijveida dzīvokļu augstākās cenas jūnijā saglabājās Teikā, kur kvadrātmetra vidējā cena pieaug</w:t>
      </w:r>
      <w:r>
        <w:rPr>
          <w:rFonts w:cs="Arial" w:ascii="Arial" w:hAnsi="Arial"/>
          <w:sz w:val="20"/>
          <w:szCs w:val="20"/>
        </w:rPr>
        <w:t>a</w:t>
      </w:r>
      <w:r>
        <w:rPr>
          <w:rFonts w:cs="Arial" w:ascii="Arial" w:hAnsi="Arial"/>
          <w:sz w:val="20"/>
          <w:szCs w:val="20"/>
        </w:rPr>
        <w:t xml:space="preserve"> līdz 1 146 EUR/m². Viena kvadrātmetra zemākā vidējā cena jūnijā bija</w:t>
      </w:r>
      <w:r>
        <w:rPr>
          <w:rFonts w:cs="Arial" w:ascii="Arial" w:hAnsi="Arial"/>
          <w:i/>
          <w:sz w:val="20"/>
          <w:szCs w:val="20"/>
        </w:rPr>
        <w:t xml:space="preserve"> </w:t>
      </w:r>
      <w:r>
        <w:rPr>
          <w:rFonts w:cs="Arial" w:ascii="Arial" w:hAnsi="Arial"/>
          <w:sz w:val="20"/>
          <w:szCs w:val="20"/>
        </w:rPr>
        <w:t>Bolderājā – 714 EUR/m², kas samazināj</w:t>
      </w:r>
      <w:r>
        <w:rPr>
          <w:rFonts w:cs="Arial" w:ascii="Arial" w:hAnsi="Arial"/>
          <w:sz w:val="20"/>
          <w:szCs w:val="20"/>
        </w:rPr>
        <w:t>ā</w:t>
      </w:r>
      <w:r>
        <w:rPr>
          <w:rFonts w:cs="Arial" w:ascii="Arial" w:hAnsi="Arial"/>
          <w:sz w:val="20"/>
          <w:szCs w:val="20"/>
        </w:rPr>
        <w:t>s, salīdzin</w:t>
      </w:r>
      <w:r>
        <w:rPr>
          <w:rFonts w:cs="Arial" w:ascii="Arial" w:hAnsi="Arial"/>
          <w:sz w:val="20"/>
          <w:szCs w:val="20"/>
        </w:rPr>
        <w:t>ot</w:t>
      </w:r>
      <w:r>
        <w:rPr>
          <w:rFonts w:cs="Arial" w:ascii="Arial" w:hAnsi="Arial"/>
          <w:sz w:val="20"/>
          <w:szCs w:val="20"/>
        </w:rPr>
        <w:t xml:space="preserve"> ar iepriekšējo mēnesi.</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2026. gada 1. jūlijā, EUR/m²</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270625" cy="3636010"/>
            <wp:effectExtent l="0" t="0" r="0" b="0"/>
            <wp:docPr id="12" name="Attēls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0" descr=""/>
                    <pic:cNvPicPr>
                      <a:picLocks noChangeAspect="1" noChangeArrowheads="1"/>
                    </pic:cNvPicPr>
                  </pic:nvPicPr>
                  <pic:blipFill>
                    <a:blip r:embed="rId13"/>
                    <a:stretch>
                      <a:fillRect/>
                    </a:stretch>
                  </pic:blipFill>
                  <pic:spPr bwMode="auto">
                    <a:xfrm>
                      <a:off x="0" y="0"/>
                      <a:ext cx="6270625" cy="363601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iCs/>
          <w:color w:themeColor="text2" w:themeTint="80" w:val="4C94D8"/>
          <w:sz w:val="20"/>
          <w:szCs w:val="20"/>
        </w:rPr>
      </w:pPr>
      <w:r>
        <w:rPr>
          <w:rFonts w:cs="Arial" w:ascii="Arial" w:hAnsi="Arial"/>
          <w:iCs/>
          <w:color w:themeColor="text2" w:themeTint="80" w:val="4C94D8"/>
          <w:sz w:val="20"/>
          <w:szCs w:val="20"/>
        </w:rPr>
      </w:r>
    </w:p>
    <w:p>
      <w:pPr>
        <w:pStyle w:val="Normal"/>
        <w:ind w:right="425"/>
        <w:jc w:val="both"/>
        <w:rPr>
          <w:rFonts w:ascii="Arial" w:hAnsi="Arial" w:cs="Arial"/>
          <w:sz w:val="20"/>
          <w:szCs w:val="20"/>
        </w:rPr>
      </w:pPr>
      <w:r>
        <w:rPr>
          <w:rFonts w:cs="Arial" w:ascii="Arial" w:hAnsi="Arial"/>
          <w:sz w:val="20"/>
          <w:szCs w:val="20"/>
        </w:rPr>
        <w:t>Jūnijā visdārgākie dzīvokļi saglabājās 119. un 104. sērijas mājās, kurās cenas divistabu dzīvokļiem apmierinošā stāvoklī bija robežās no 57 000 līdz 60 000 eiro atkarībā no atrašanās vietas. Savukārt vislētākās bija lietuviešu projekta mājas, kur divistabu dzīvokļu cenu amplitūda bija no 34 000 līdz 47 000 eiro, un Hruščova laika mājas, kurās cenas divistabu dzīvokļiem bija robežās no 33 000 līdz 49 000 eiro atkarībā no mikrorajona.</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
    </w:p>
    <w:p>
      <w:pPr>
        <w:pStyle w:val="Normal"/>
        <w:ind w:right="425"/>
        <w:jc w:val="both"/>
        <w:rPr>
          <w:rFonts w:ascii="Arial" w:hAnsi="Arial" w:cs="Arial"/>
          <w:b/>
          <w:sz w:val="20"/>
          <w:szCs w:val="20"/>
        </w:rPr>
      </w:pPr>
      <w:r>
        <w:rPr>
          <w:rFonts w:cs="Arial" w:ascii="Arial" w:hAnsi="Arial"/>
          <w:b/>
          <w:sz w:val="20"/>
          <w:szCs w:val="20"/>
        </w:rPr>
        <w:t>Rīgas mikrorajonu dzīvokļu cenas 2026. gada jūnijā dalījumā pēc sērijām (divistabu dzīvokļiem), EUR</w:t>
      </w:r>
    </w:p>
    <w:p>
      <w:pPr>
        <w:pStyle w:val="Normal"/>
        <w:ind w:right="425"/>
        <w:jc w:val="both"/>
        <w:rPr>
          <w:rFonts w:ascii="Arial" w:hAnsi="Arial" w:cs="Arial"/>
          <w:b/>
          <w:sz w:val="20"/>
          <w:szCs w:val="20"/>
        </w:rPr>
      </w:pPr>
      <w:r>
        <w:rPr/>
      </w:r>
    </w:p>
    <w:p>
      <w:pPr>
        <w:pStyle w:val="Normal"/>
        <w:ind w:firstLine="1080" w:left="-1080" w:right="425"/>
        <w:jc w:val="both"/>
        <w:rPr>
          <w:rFonts w:ascii="Arial" w:hAnsi="Arial" w:cs="Arial"/>
          <w:sz w:val="20"/>
          <w:szCs w:val="20"/>
        </w:rPr>
      </w:pPr>
      <w:r>
        <w:rPr/>
        <w:drawing>
          <wp:inline distT="0" distB="0" distL="0" distR="0">
            <wp:extent cx="6159500" cy="2687320"/>
            <wp:effectExtent l="0" t="0" r="0" b="0"/>
            <wp:docPr id="13" name="Attēls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9" descr=""/>
                    <pic:cNvPicPr>
                      <a:picLocks noChangeAspect="1" noChangeArrowheads="1"/>
                    </pic:cNvPicPr>
                  </pic:nvPicPr>
                  <pic:blipFill>
                    <a:blip r:embed="rId14"/>
                    <a:stretch>
                      <a:fillRect/>
                    </a:stretch>
                  </pic:blipFill>
                  <pic:spPr bwMode="auto">
                    <a:xfrm>
                      <a:off x="0" y="0"/>
                      <a:ext cx="6159500" cy="2687320"/>
                    </a:xfrm>
                    <a:prstGeom prst="rect">
                      <a:avLst/>
                    </a:prstGeom>
                    <a:noFill/>
                  </pic:spPr>
                </pic:pic>
              </a:graphicData>
            </a:graphic>
          </wp:inline>
        </w:drawing>
      </w:r>
    </w:p>
    <w:p>
      <w:pPr>
        <w:pStyle w:val="Normal"/>
        <w:ind w:right="425"/>
        <w:jc w:val="both"/>
        <w:rPr>
          <w:rFonts w:ascii="Arial" w:hAnsi="Arial" w:cs="Arial"/>
          <w:iCs/>
          <w:sz w:val="16"/>
          <w:szCs w:val="16"/>
        </w:rPr>
      </w:pPr>
      <w:r>
        <w:rPr/>
      </w:r>
    </w:p>
    <w:p>
      <w:pPr>
        <w:pStyle w:val="Normal"/>
        <w:ind w:right="425"/>
        <w:jc w:val="both"/>
        <w:rPr>
          <w:color w:val="808080"/>
        </w:rPr>
      </w:pPr>
      <w:bookmarkStart w:id="12" w:name="OLE_LINK8"/>
      <w:bookmarkStart w:id="13" w:name="OLE_LINK7"/>
      <w:r>
        <w:rPr>
          <w:rFonts w:cs="Arial" w:ascii="Arial" w:hAnsi="Arial"/>
          <w:iCs/>
          <w:color w:val="808080"/>
          <w:sz w:val="16"/>
          <w:szCs w:val="16"/>
        </w:rPr>
        <w:t>Avots: ARCO REAL ESTATE</w:t>
      </w:r>
      <w:bookmarkEnd w:id="12"/>
      <w:bookmarkEnd w:id="13"/>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color w:themeColor="text2" w:themeTint="80" w:val="4C94D8"/>
        </w:rPr>
      </w:pPr>
      <w:r>
        <w:rPr>
          <w:rFonts w:cs="Arial" w:ascii="Arial" w:hAnsi="Arial"/>
          <w:b/>
          <w:color w:themeColor="text2" w:themeTint="80" w:val="4C94D8"/>
        </w:rPr>
      </w:r>
      <w:r>
        <w:br w:type="page"/>
      </w:r>
    </w:p>
    <w:p>
      <w:pPr>
        <w:pStyle w:val="Normal"/>
        <w:spacing w:before="0" w:after="0"/>
        <w:ind w:right="425"/>
        <w:jc w:val="center"/>
        <w:rPr>
          <w:rFonts w:ascii="Arial" w:hAnsi="Arial" w:cs="Arial"/>
          <w:b/>
          <w:color w:themeColor="text2" w:themeTint="80" w:val="4C94D8"/>
        </w:rPr>
      </w:pPr>
      <w:r>
        <w:rPr>
          <w:rFonts w:cs="Arial" w:ascii="Arial" w:hAnsi="Arial"/>
          <w:b/>
          <w:color w:themeColor="text2" w:themeTint="80" w:val="4C94D8"/>
        </w:rPr>
      </w:r>
    </w:p>
    <w:p>
      <w:pPr>
        <w:pStyle w:val="Normal"/>
        <w:ind w:right="425"/>
        <w:jc w:val="center"/>
        <w:rPr>
          <w:rFonts w:ascii="Arial" w:hAnsi="Arial" w:cs="Arial"/>
          <w:b/>
        </w:rPr>
      </w:pPr>
      <w:r>
        <w:rPr>
          <w:rFonts w:cs="Arial" w:ascii="Arial" w:hAnsi="Arial"/>
          <w:b/>
        </w:rPr>
        <w:t>Dzīvokļu tirgus Rīgas apkārtnē</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Ogre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2026. gada jūnijā sērijveida dzīvokļu cenas palielinājās par 1 %. Dzīvokļu viena kvadrātmetra vidējā cena sasniedza 972 EUR/m². Dzīvokļu cenas Ogrē jūnijā </w:t>
      </w:r>
      <w:r>
        <w:rPr>
          <w:rFonts w:cs="Arial" w:ascii="Arial" w:hAnsi="Arial"/>
          <w:sz w:val="20"/>
          <w:szCs w:val="20"/>
        </w:rPr>
        <w:t>bija</w:t>
      </w:r>
      <w:r>
        <w:rPr>
          <w:rFonts w:cs="Arial" w:ascii="Arial" w:hAnsi="Arial"/>
          <w:sz w:val="20"/>
          <w:szCs w:val="20"/>
        </w:rPr>
        <w:t xml:space="preserve"> par 10 % augstākas nekā 2026. gada sākumā.</w:t>
      </w:r>
    </w:p>
    <w:p>
      <w:pPr>
        <w:pStyle w:val="Normal"/>
        <w:ind w:right="425"/>
        <w:rPr>
          <w:rFonts w:ascii="Arial" w:hAnsi="Arial" w:cs="Arial"/>
          <w:b/>
          <w:bCs/>
          <w:sz w:val="20"/>
          <w:szCs w:val="20"/>
        </w:rPr>
      </w:pPr>
      <w:r>
        <w:rPr>
          <w:rFonts w:cs="Arial" w:ascii="Arial" w:hAnsi="Arial"/>
          <w:b/>
          <w:bCs/>
          <w:sz w:val="20"/>
          <w:szCs w:val="20"/>
        </w:rPr>
      </w:r>
    </w:p>
    <w:p>
      <w:pPr>
        <w:pStyle w:val="Normal"/>
        <w:ind w:right="425"/>
        <w:rPr>
          <w:rFonts w:ascii="Arial" w:hAnsi="Arial" w:cs="Arial"/>
          <w:b/>
          <w:bCs/>
          <w:sz w:val="20"/>
          <w:szCs w:val="20"/>
        </w:rPr>
      </w:pPr>
      <w:r>
        <w:rPr>
          <w:rFonts w:cs="Arial" w:ascii="Arial" w:hAnsi="Arial"/>
          <w:b/>
          <w:bCs/>
          <w:sz w:val="20"/>
          <w:szCs w:val="20"/>
        </w:rPr>
        <w:t>Sērijveida dzīvokļu vidējās cenas dinamika Ogrē, EUR/m²</w:t>
      </w:r>
    </w:p>
    <w:p>
      <w:pPr>
        <w:pStyle w:val="Normal"/>
        <w:ind w:right="425"/>
        <w:rPr>
          <w:rFonts w:ascii="Arial" w:hAnsi="Arial" w:cs="Arial"/>
          <w:b/>
          <w:bCs/>
          <w:sz w:val="20"/>
          <w:szCs w:val="20"/>
          <w:vertAlign w:val="superscript"/>
        </w:rPr>
      </w:pPr>
      <w:r>
        <w:rPr>
          <w:rFonts w:cs="Arial" w:ascii="Arial" w:hAnsi="Arial"/>
          <w:b/>
          <w:bCs/>
          <w:sz w:val="20"/>
          <w:szCs w:val="20"/>
          <w:vertAlign w:val="superscript"/>
        </w:rPr>
      </w:r>
    </w:p>
    <w:p>
      <w:pPr>
        <w:pStyle w:val="Normal"/>
        <w:ind w:right="425"/>
        <w:rPr>
          <w:rFonts w:ascii="Arial" w:hAnsi="Arial" w:cs="Arial"/>
          <w:sz w:val="20"/>
          <w:szCs w:val="20"/>
        </w:rPr>
      </w:pPr>
      <w:r>
        <w:rPr/>
        <w:drawing>
          <wp:inline distT="0" distB="0" distL="0" distR="0">
            <wp:extent cx="6397625" cy="1534795"/>
            <wp:effectExtent l="0" t="0" r="0" b="0"/>
            <wp:docPr id="14" name="Attēls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8" descr=""/>
                    <pic:cNvPicPr>
                      <a:picLocks noChangeAspect="1" noChangeArrowheads="1"/>
                    </pic:cNvPicPr>
                  </pic:nvPicPr>
                  <pic:blipFill>
                    <a:blip r:embed="rId15"/>
                    <a:stretch>
                      <a:fillRect/>
                    </a:stretch>
                  </pic:blipFill>
                  <pic:spPr bwMode="auto">
                    <a:xfrm>
                      <a:off x="0" y="0"/>
                      <a:ext cx="6397625" cy="153479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rPr>
          <w:rFonts w:ascii="Arial" w:hAnsi="Arial" w:cs="Arial"/>
          <w:b/>
          <w:sz w:val="20"/>
          <w:szCs w:val="20"/>
        </w:rPr>
      </w:pPr>
      <w:r>
        <w:rPr>
          <w:rFonts w:cs="Arial" w:ascii="Arial" w:hAnsi="Arial"/>
          <w:b/>
          <w:sz w:val="20"/>
          <w:szCs w:val="20"/>
        </w:rPr>
        <w:t>Kauguri, Jūrmala</w:t>
      </w:r>
    </w:p>
    <w:p>
      <w:pPr>
        <w:pStyle w:val="Normal"/>
        <w:ind w:right="425"/>
        <w:jc w:val="both"/>
        <w:rPr>
          <w:rFonts w:ascii="Arial" w:hAnsi="Arial" w:cs="Arial"/>
          <w:sz w:val="20"/>
          <w:szCs w:val="20"/>
        </w:rPr>
      </w:pPr>
      <w:r>
        <w:rPr>
          <w:rFonts w:cs="Arial" w:ascii="Arial" w:hAnsi="Arial"/>
          <w:sz w:val="20"/>
          <w:szCs w:val="20"/>
        </w:rPr>
        <w:t xml:space="preserve"> </w:t>
      </w:r>
    </w:p>
    <w:p>
      <w:pPr>
        <w:pStyle w:val="Normal"/>
        <w:ind w:right="425"/>
        <w:jc w:val="both"/>
        <w:rPr>
          <w:rFonts w:ascii="Arial" w:hAnsi="Arial" w:cs="Arial"/>
          <w:sz w:val="20"/>
          <w:szCs w:val="20"/>
        </w:rPr>
      </w:pPr>
      <w:r>
        <w:rPr>
          <w:rFonts w:cs="Arial" w:ascii="Arial" w:hAnsi="Arial"/>
          <w:sz w:val="20"/>
          <w:szCs w:val="20"/>
        </w:rPr>
        <w:t xml:space="preserve">Kauguros 2026. gada jūnijā sērijveida dzīvokļu cenas palielinājās par 0,4 %. Sērijveida dzīvokļu vidējā cena jūnijā – 883 EUR/m². Kopš 2026. gada sākuma dzīvokļu cenas Kauguros </w:t>
      </w:r>
      <w:r>
        <w:rPr>
          <w:rFonts w:cs="Arial" w:ascii="Arial" w:hAnsi="Arial"/>
          <w:sz w:val="20"/>
          <w:szCs w:val="20"/>
        </w:rPr>
        <w:t xml:space="preserve">jūnijā </w:t>
      </w:r>
      <w:r>
        <w:rPr>
          <w:rFonts w:cs="Arial" w:ascii="Arial" w:hAnsi="Arial"/>
          <w:sz w:val="20"/>
          <w:szCs w:val="20"/>
        </w:rPr>
        <w:t xml:space="preserve">augstākas par 7 %. </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Sērijveida dzīvokļu vidējās cenas dinamika Jūrmalā, Kauguros, EUR/m²</w:t>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rFonts w:ascii="Arial" w:hAnsi="Arial" w:cs="Arial"/>
          <w:sz w:val="20"/>
          <w:szCs w:val="20"/>
        </w:rPr>
      </w:pPr>
      <w:r>
        <w:rPr/>
        <w:drawing>
          <wp:inline distT="0" distB="0" distL="0" distR="0">
            <wp:extent cx="6302375" cy="1555115"/>
            <wp:effectExtent l="0" t="0" r="0" b="0"/>
            <wp:docPr id="15" name="Attēls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7" descr=""/>
                    <pic:cNvPicPr>
                      <a:picLocks noChangeAspect="1" noChangeArrowheads="1"/>
                    </pic:cNvPicPr>
                  </pic:nvPicPr>
                  <pic:blipFill>
                    <a:blip r:embed="rId16"/>
                    <a:stretch>
                      <a:fillRect/>
                    </a:stretch>
                  </pic:blipFill>
                  <pic:spPr bwMode="auto">
                    <a:xfrm>
                      <a:off x="0" y="0"/>
                      <a:ext cx="6302375" cy="155511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rFonts w:ascii="Arial" w:hAnsi="Arial" w:cs="Arial"/>
          <w:iCs/>
          <w:sz w:val="20"/>
          <w:szCs w:val="20"/>
        </w:rPr>
      </w:pPr>
      <w:r>
        <w:rPr>
          <w:rFonts w:cs="Arial" w:ascii="Arial" w:hAnsi="Arial"/>
          <w:iCs/>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Salaspils</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bookmarkStart w:id="14" w:name="OLE_LINK2"/>
      <w:bookmarkStart w:id="15" w:name="OLE_LINK1"/>
      <w:r>
        <w:rPr>
          <w:rFonts w:cs="Arial" w:ascii="Arial" w:hAnsi="Arial"/>
          <w:sz w:val="20"/>
          <w:szCs w:val="20"/>
        </w:rPr>
        <w:t>2026. gada jūnijā sērijveida dzīvokļu cenas Salaspilī palielinājās par 0,2 %. Dzīvokļu viena kvadrātmetra vidējā cena pieauga līdz 902 EUR/m².</w:t>
      </w:r>
      <w:bookmarkEnd w:id="14"/>
      <w:bookmarkEnd w:id="15"/>
      <w:r>
        <w:rPr>
          <w:rFonts w:cs="Arial" w:ascii="Arial" w:hAnsi="Arial"/>
          <w:sz w:val="20"/>
          <w:szCs w:val="20"/>
        </w:rPr>
        <w:t xml:space="preserve"> Jūnijā sērijveida dzīvokļu cenas Salaspilī bija par 6 % augstākas nekā šā gada sākumā.</w:t>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color w:themeColor="text2" w:themeTint="80" w:val="4C94D8"/>
          <w:sz w:val="20"/>
          <w:szCs w:val="20"/>
        </w:rPr>
      </w:pPr>
      <w:r>
        <w:rPr>
          <w:rFonts w:cs="Arial" w:ascii="Arial" w:hAnsi="Arial"/>
          <w:b/>
          <w:color w:themeColor="text2" w:themeTint="80" w:val="4C94D8"/>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Salaspils sērijveida dzīvokļu vidējās cenas dinamika, EUR/m²</w:t>
      </w:r>
    </w:p>
    <w:p>
      <w:pPr>
        <w:pStyle w:val="Normal"/>
        <w:ind w:right="425"/>
        <w:jc w:val="both"/>
        <w:rPr>
          <w:rFonts w:ascii="Arial" w:hAnsi="Arial" w:cs="Arial"/>
          <w:b/>
          <w:sz w:val="20"/>
          <w:szCs w:val="20"/>
          <w:vertAlign w:val="superscript"/>
        </w:rPr>
      </w:pPr>
      <w:r>
        <w:rPr/>
      </w:r>
    </w:p>
    <w:p>
      <w:pPr>
        <w:pStyle w:val="Normal"/>
        <w:ind w:right="425"/>
        <w:jc w:val="both"/>
        <w:rPr>
          <w:rFonts w:ascii="Arial" w:hAnsi="Arial" w:cs="Arial"/>
          <w:sz w:val="20"/>
          <w:szCs w:val="20"/>
        </w:rPr>
      </w:pPr>
      <w:r>
        <w:rPr/>
        <w:drawing>
          <wp:inline distT="0" distB="0" distL="0" distR="0">
            <wp:extent cx="6174740" cy="1560830"/>
            <wp:effectExtent l="0" t="0" r="0" b="0"/>
            <wp:docPr id="16" name="Attēls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
                    <pic:cNvPicPr>
                      <a:picLocks noChangeAspect="1" noChangeArrowheads="1"/>
                    </pic:cNvPicPr>
                  </pic:nvPicPr>
                  <pic:blipFill>
                    <a:blip r:embed="rId17"/>
                    <a:stretch>
                      <a:fillRect/>
                    </a:stretch>
                  </pic:blipFill>
                  <pic:spPr bwMode="auto">
                    <a:xfrm>
                      <a:off x="0" y="0"/>
                      <a:ext cx="6174740" cy="156083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text2" w:themeTint="80" w:val="4C94D8"/>
          <w:sz w:val="20"/>
          <w:szCs w:val="20"/>
        </w:rPr>
      </w:pPr>
      <w:r>
        <w:rPr>
          <w:rFonts w:cs="Arial" w:ascii="Arial" w:hAnsi="Arial"/>
          <w:color w:themeColor="text2" w:themeTint="80" w:val="4C94D8"/>
          <w:sz w:val="20"/>
          <w:szCs w:val="20"/>
        </w:rPr>
      </w:r>
    </w:p>
    <w:p>
      <w:pPr>
        <w:pStyle w:val="Normal"/>
        <w:ind w:right="425"/>
        <w:jc w:val="both"/>
        <w:rPr>
          <w:rFonts w:ascii="Arial" w:hAnsi="Arial" w:cs="Arial"/>
          <w:b/>
          <w:sz w:val="20"/>
          <w:szCs w:val="20"/>
        </w:rPr>
      </w:pPr>
      <w:r>
        <w:rPr>
          <w:rFonts w:cs="Arial" w:ascii="Arial" w:hAnsi="Arial"/>
          <w:b/>
          <w:sz w:val="20"/>
          <w:szCs w:val="20"/>
        </w:rPr>
        <w:t>Jelgava</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Jelgavā dzīvokļu cenas 2026. gada jūnijā saglabājās praktiski bez izmaiņām. Sērijveida dzīvokļu vidējā cena jūnijā Jelgavā – 799 EUR/m². Jelgavā sērijveida dzīvokļu cenas </w:t>
      </w:r>
      <w:r>
        <w:rPr>
          <w:rFonts w:cs="Arial" w:ascii="Arial" w:hAnsi="Arial"/>
          <w:sz w:val="20"/>
          <w:szCs w:val="20"/>
        </w:rPr>
        <w:t xml:space="preserve">jūnijā bija </w:t>
      </w:r>
      <w:r>
        <w:rPr>
          <w:rFonts w:cs="Arial" w:ascii="Arial" w:hAnsi="Arial"/>
          <w:sz w:val="20"/>
          <w:szCs w:val="20"/>
        </w:rPr>
        <w:t>par 4 % augstākas nekā 2026. gada sākumā.</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Jelgavas sērijveida dzīvokļu vidējās cenas dinamika, EUR/m</w:t>
      </w:r>
      <w:r>
        <w:rPr>
          <w:rFonts w:cs="Arial" w:ascii="Arial" w:hAnsi="Arial"/>
          <w:b/>
          <w:sz w:val="20"/>
          <w:szCs w:val="20"/>
          <w:vertAlign w:val="superscript"/>
        </w:rPr>
        <w:t>2</w:t>
      </w:r>
    </w:p>
    <w:p>
      <w:pPr>
        <w:pStyle w:val="Normal"/>
        <w:ind w:right="425"/>
        <w:jc w:val="both"/>
        <w:rPr>
          <w:rFonts w:ascii="Arial" w:hAnsi="Arial" w:cs="Arial"/>
          <w:b/>
          <w:sz w:val="20"/>
          <w:szCs w:val="20"/>
          <w:vertAlign w:val="superscript"/>
        </w:rPr>
      </w:pPr>
      <w:r>
        <w:rPr/>
      </w:r>
    </w:p>
    <w:p>
      <w:pPr>
        <w:pStyle w:val="Normal"/>
        <w:ind w:right="425"/>
        <w:jc w:val="both"/>
        <w:rPr>
          <w:rFonts w:ascii="Arial" w:hAnsi="Arial" w:cs="Arial"/>
          <w:b/>
          <w:sz w:val="20"/>
          <w:szCs w:val="20"/>
          <w:vertAlign w:val="superscript"/>
        </w:rPr>
      </w:pPr>
      <w:r>
        <w:rPr/>
        <w:drawing>
          <wp:inline distT="0" distB="0" distL="0" distR="0">
            <wp:extent cx="6177915" cy="1791970"/>
            <wp:effectExtent l="0" t="0" r="0" b="0"/>
            <wp:docPr id="17" name="Attēls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5" descr=""/>
                    <pic:cNvPicPr>
                      <a:picLocks noChangeAspect="1" noChangeArrowheads="1"/>
                    </pic:cNvPicPr>
                  </pic:nvPicPr>
                  <pic:blipFill>
                    <a:blip r:embed="rId18"/>
                    <a:stretch>
                      <a:fillRect/>
                    </a:stretch>
                  </pic:blipFill>
                  <pic:spPr bwMode="auto">
                    <a:xfrm>
                      <a:off x="0" y="0"/>
                      <a:ext cx="6177915" cy="1791970"/>
                    </a:xfrm>
                    <a:prstGeom prst="rect">
                      <a:avLst/>
                    </a:prstGeom>
                    <a:noFill/>
                  </pic:spPr>
                </pic:pic>
              </a:graphicData>
            </a:graphic>
          </wp:inline>
        </w:drawing>
      </w:r>
    </w:p>
    <w:p>
      <w:pPr>
        <w:pStyle w:val="Normal"/>
        <w:ind w:right="425"/>
        <w:jc w:val="both"/>
        <w:rPr>
          <w:rFonts w:ascii="Arial" w:hAnsi="Arial" w:cs="Arial"/>
          <w:i/>
          <w:i/>
          <w:color w:themeColor="text2" w:themeTint="80" w:val="4C94D8"/>
          <w:sz w:val="16"/>
          <w:szCs w:val="16"/>
        </w:rPr>
      </w:pPr>
      <w:r>
        <w:rPr>
          <w:rFonts w:cs="Arial" w:ascii="Arial" w:hAnsi="Arial"/>
          <w:i/>
          <w:color w:themeColor="text2" w:themeTint="80" w:val="4C94D8"/>
          <w:sz w:val="16"/>
          <w:szCs w:val="16"/>
        </w:rPr>
      </w:r>
    </w:p>
    <w:p>
      <w:pPr>
        <w:pStyle w:val="Normal"/>
        <w:ind w:right="425"/>
        <w:jc w:val="both"/>
        <w:rPr>
          <w:color w:val="808080"/>
        </w:rPr>
      </w:pPr>
      <w:r>
        <w:rPr>
          <w:rFonts w:cs="Arial" w:ascii="Arial" w:hAnsi="Arial"/>
          <w:iCs/>
          <w:color w:val="808080"/>
          <w:sz w:val="16"/>
          <w:szCs w:val="16"/>
        </w:rPr>
        <w:t>Avots: ARCO REAL ESTATE</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566" w:gutter="0" w:header="708" w:top="1843" w:footer="10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0"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jc w:val="left"/>
      <w:rPr/>
    </w:pPr>
    <w:r>
      <w:rPr/>
      <w:drawing>
        <wp:anchor behindDoc="0" distT="0" distB="0" distL="0" distR="0" simplePos="0" locked="0" layoutInCell="0" allowOverlap="1" relativeHeight="27">
          <wp:simplePos x="0" y="0"/>
          <wp:positionH relativeFrom="column">
            <wp:align>center</wp:align>
          </wp:positionH>
          <wp:positionV relativeFrom="paragraph">
            <wp:posOffset>635</wp:posOffset>
          </wp:positionV>
          <wp:extent cx="2643505" cy="252730"/>
          <wp:effectExtent l="0" t="0" r="0" b="0"/>
          <wp:wrapSquare wrapText="right"/>
          <wp:docPr id="1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descr=""/>
                  <pic:cNvPicPr>
                    <a:picLocks noChangeAspect="1" noChangeArrowheads="1"/>
                  </pic:cNvPicPr>
                </pic:nvPicPr>
                <pic:blipFill>
                  <a:blip r:embed="rId1"/>
                  <a:stretch>
                    <a:fillRect/>
                  </a:stretch>
                </pic:blipFill>
                <pic:spPr bwMode="auto">
                  <a:xfrm>
                    <a:off x="0" y="0"/>
                    <a:ext cx="2643505" cy="25273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jc w:val="left"/>
      <w:rPr/>
    </w:pPr>
    <w:r>
      <w:rPr/>
      <w:drawing>
        <wp:anchor behindDoc="0" distT="0" distB="0" distL="0" distR="0" simplePos="0" locked="0" layoutInCell="0" allowOverlap="1" relativeHeight="27">
          <wp:simplePos x="0" y="0"/>
          <wp:positionH relativeFrom="column">
            <wp:align>center</wp:align>
          </wp:positionH>
          <wp:positionV relativeFrom="paragraph">
            <wp:posOffset>635</wp:posOffset>
          </wp:positionV>
          <wp:extent cx="2643505" cy="252730"/>
          <wp:effectExtent l="0" t="0" r="0" b="0"/>
          <wp:wrapSquare wrapText="right"/>
          <wp:docPr id="1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
                  <pic:cNvPicPr>
                    <a:picLocks noChangeAspect="1" noChangeArrowheads="1"/>
                  </pic:cNvPicPr>
                </pic:nvPicPr>
                <pic:blipFill>
                  <a:blip r:embed="rId1"/>
                  <a:stretch>
                    <a:fillRect/>
                  </a:stretch>
                </pic:blipFill>
                <pic:spPr bwMode="auto">
                  <a:xfrm>
                    <a:off x="0" y="0"/>
                    <a:ext cx="2643505" cy="252730"/>
                  </a:xfrm>
                  <a:prstGeom prst="rect">
                    <a:avLst/>
                  </a:prstGeom>
                  <a:noFill/>
                </pic:spPr>
              </pic:pic>
            </a:graphicData>
          </a:graphic>
        </wp:anchor>
      </w:drawing>
    </w:r>
  </w:p>
</w:hdr>
</file>

<file path=word/settings.xml><?xml version="1.0" encoding="utf-8"?>
<w:settings xmlns:w="http://schemas.openxmlformats.org/wordprocessingml/2006/main">
  <w:zoom w:percent="16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c8"/>
    <w:pPr>
      <w:widowControl/>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Virsraksts1Rakstz"/>
    <w:uiPriority w:val="9"/>
    <w:qFormat/>
    <w:rsid w:val="008a707c"/>
    <w:pPr>
      <w:keepNext w:val="true"/>
      <w:spacing w:before="240" w:after="60"/>
      <w:outlineLvl w:val="0"/>
    </w:pPr>
    <w:rPr>
      <w:rFonts w:ascii="Cambria" w:hAnsi="Cambria"/>
      <w:b/>
      <w:bCs/>
      <w:kern w:val="2"/>
      <w:sz w:val="32"/>
      <w:szCs w:val="3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11a85"/>
    <w:rPr/>
  </w:style>
  <w:style w:type="character" w:styleId="Virsraksts1Rakstz" w:customStyle="1">
    <w:name w:val="Virsraksts 1 Rakstz."/>
    <w:link w:val="Heading1"/>
    <w:uiPriority w:val="9"/>
    <w:qFormat/>
    <w:rsid w:val="008a707c"/>
    <w:rPr>
      <w:rFonts w:ascii="Cambria" w:hAnsi="Cambria" w:eastAsia="Times New Roman" w:cs="Times New Roman"/>
      <w:b/>
      <w:bCs/>
      <w:kern w:val="2"/>
      <w:sz w:val="32"/>
      <w:szCs w:val="32"/>
    </w:rPr>
  </w:style>
  <w:style w:type="character" w:styleId="NosaukumsRakstz" w:customStyle="1">
    <w:name w:val="Nosaukums Rakstz."/>
    <w:link w:val="Title"/>
    <w:uiPriority w:val="10"/>
    <w:qFormat/>
    <w:rsid w:val="008a707c"/>
    <w:rPr>
      <w:rFonts w:ascii="Cambria" w:hAnsi="Cambria" w:eastAsia="Times New Roman" w:cs="Times New Roman"/>
      <w:b/>
      <w:bCs/>
      <w:kern w:val="2"/>
      <w:sz w:val="32"/>
      <w:szCs w:val="32"/>
    </w:rPr>
  </w:style>
  <w:style w:type="character" w:styleId="KjeneRakstz" w:customStyle="1">
    <w:name w:val="Kājene Rakstz."/>
    <w:basedOn w:val="DefaultParagraphFont"/>
    <w:link w:val="Footer"/>
    <w:uiPriority w:val="99"/>
    <w:qFormat/>
    <w:rsid w:val="006454c4"/>
    <w:rPr>
      <w:sz w:val="24"/>
      <w:szCs w:val="24"/>
      <w:lang w:val="lv-LV" w:eastAsia="lv-LV"/>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a600f5"/>
    <w:pPr>
      <w:tabs>
        <w:tab w:val="clear" w:pos="720"/>
        <w:tab w:val="center" w:pos="4153" w:leader="none"/>
        <w:tab w:val="right" w:pos="8306" w:leader="none"/>
      </w:tabs>
    </w:pPr>
    <w:rPr/>
  </w:style>
  <w:style w:type="paragraph" w:styleId="Footer">
    <w:name w:val="footer"/>
    <w:basedOn w:val="Normal"/>
    <w:link w:val="KjeneRakstz"/>
    <w:uiPriority w:val="99"/>
    <w:rsid w:val="00a600f5"/>
    <w:pPr>
      <w:tabs>
        <w:tab w:val="clear" w:pos="720"/>
        <w:tab w:val="center" w:pos="4153" w:leader="none"/>
        <w:tab w:val="right" w:pos="8306" w:leader="none"/>
      </w:tabs>
    </w:pPr>
    <w:rPr/>
  </w:style>
  <w:style w:type="paragraph" w:styleId="BalloonText">
    <w:name w:val="Balloon Text"/>
    <w:basedOn w:val="Normal"/>
    <w:semiHidden/>
    <w:qFormat/>
    <w:rsid w:val="00e474db"/>
    <w:pPr/>
    <w:rPr>
      <w:rFonts w:ascii="Tahoma" w:hAnsi="Tahoma" w:cs="Tahoma"/>
      <w:sz w:val="16"/>
      <w:szCs w:val="16"/>
    </w:rPr>
  </w:style>
  <w:style w:type="paragraph" w:styleId="Title">
    <w:name w:val="Title"/>
    <w:basedOn w:val="Normal"/>
    <w:next w:val="Normal"/>
    <w:link w:val="NosaukumsRakstz"/>
    <w:uiPriority w:val="10"/>
    <w:qFormat/>
    <w:rsid w:val="008a707c"/>
    <w:pPr>
      <w:spacing w:before="240" w:after="60"/>
      <w:jc w:val="center"/>
      <w:outlineLvl w:val="0"/>
    </w:pPr>
    <w:rPr>
      <w:rFonts w:ascii="Cambria" w:hAnsi="Cambria"/>
      <w:b/>
      <w:bCs/>
      <w:kern w:val="2"/>
      <w:sz w:val="32"/>
      <w:szCs w:val="32"/>
      <w:lang w:val="x-none" w:eastAsia="x-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rsid w:val="00c33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8.png"/>
</Relationships>
</file>

<file path=word/_rels/header3.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Application>LibreOffice/24.8.6.2$Linux_X86_64 LibreOffice_project/480$Build-2</Application>
  <AppVersion>15.0000</AppVersion>
  <Pages>9</Pages>
  <Words>955</Words>
  <Characters>5849</Characters>
  <CharactersWithSpaces>6735</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2026-07-09T08:05:00Z</dcterms:created>
  <dc:creator>Jānis Dzedulis</dc:creator>
  <dc:description/>
  <dc:language>en-US</dc:language>
  <cp:lastModifiedBy/>
  <cp:lastPrinted>2015-02-04T12:58:00Z</cp:lastPrinted>
  <dcterms:modified xsi:type="dcterms:W3CDTF">2026-07-10T09:54:40Z</dcterms:modified>
  <cp:revision>6</cp:revision>
  <dc:subject/>
  <dc:title>Galvenie secinājumi:</dc:title>
</cp:coreProperties>
</file>

<file path=docProps/custom.xml><?xml version="1.0" encoding="utf-8"?>
<Properties xmlns="http://schemas.openxmlformats.org/officeDocument/2006/custom-properties" xmlns:vt="http://schemas.openxmlformats.org/officeDocument/2006/docPropsVTypes"/>
</file>