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header3.xml.rels" ContentType="application/vnd.openxmlformats-package.relationships+xml"/>
  <Override PartName="/word/_rels/header2.xml.rels" ContentType="application/vnd.openxmlformats-package.relationships+xml"/>
  <Override PartName="/word/_rels/document.xml.rels" ContentType="application/vnd.openxmlformats-package.relationships+xml"/>
  <Override PartName="/word/media/image13.png" ContentType="image/png"/>
  <Override PartName="/word/media/image4.png" ContentType="image/png"/>
  <Override PartName="/word/media/image9.png" ContentType="image/png"/>
  <Override PartName="/word/media/image18.png" ContentType="image/png"/>
  <Override PartName="/word/media/image15.png" ContentType="image/png"/>
  <Override PartName="/word/media/image1.png" ContentType="image/png"/>
  <Override PartName="/word/media/image14.png" ContentType="image/png"/>
  <Override PartName="/word/media/image5.png" ContentType="image/png"/>
  <Override PartName="/word/media/image6.wmf" ContentType="image/x-wmf"/>
  <Override PartName="/word/media/image10.wmf" ContentType="image/x-wmf"/>
  <Override PartName="/word/media/image7.png" ContentType="image/png"/>
  <Override PartName="/word/media/image16.png" ContentType="image/png"/>
  <Override PartName="/word/media/image11.png" ContentType="image/png"/>
  <Override PartName="/word/media/image2.png" ContentType="image/png"/>
  <Override PartName="/word/media/image17.png" ContentType="image/png"/>
  <Override PartName="/word/media/image8.png" ContentType="image/png"/>
  <Override PartName="/word/media/image12.png" ContentType="image/png"/>
  <Override PartName="/word/media/image3.png" ContentType="image/png"/>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right="425"/>
        <w:jc w:val="center"/>
        <w:rPr>
          <w:rFonts w:ascii="Arial" w:hAnsi="Arial" w:cs="Arial"/>
          <w:b/>
          <w:color w:themeColor="text1" w:val="000000"/>
        </w:rPr>
      </w:pPr>
      <w:r>
        <w:rPr>
          <w:rFonts w:cs="Arial" w:ascii="Arial" w:hAnsi="Arial"/>
          <w:b/>
          <w:color w:themeColor="text1" w:val="000000"/>
        </w:rPr>
        <w:t>Sērijveida dzīvokļi, 2026. gada 1. augusts</w:t>
      </w:r>
    </w:p>
    <w:p>
      <w:pPr>
        <w:pStyle w:val="Normal"/>
        <w:ind w:right="425"/>
        <w:jc w:val="center"/>
        <w:rPr>
          <w:rFonts w:ascii="Arial" w:hAnsi="Arial" w:cs="Arial"/>
          <w:b/>
          <w:color w:themeColor="text1" w:val="000000"/>
          <w:sz w:val="20"/>
          <w:szCs w:val="20"/>
        </w:rPr>
      </w:pPr>
      <w:r>
        <w:rPr>
          <w:rFonts w:cs="Arial" w:ascii="Arial" w:hAnsi="Arial"/>
          <w:b/>
          <w:color w:themeColor="text1" w:val="000000"/>
          <w:sz w:val="20"/>
          <w:szCs w:val="20"/>
        </w:rPr>
      </w:r>
    </w:p>
    <w:p>
      <w:pPr>
        <w:pStyle w:val="Normal"/>
        <w:ind w:right="425"/>
        <w:jc w:val="center"/>
        <w:rPr>
          <w:rFonts w:ascii="Arial" w:hAnsi="Arial" w:cs="Arial"/>
          <w:b/>
          <w:color w:themeColor="text1" w:val="000000"/>
          <w:sz w:val="20"/>
          <w:szCs w:val="20"/>
        </w:rPr>
      </w:pPr>
      <w:r>
        <w:rPr>
          <w:rFonts w:cs="Arial" w:ascii="Arial" w:hAnsi="Arial"/>
          <w:b/>
          <w:color w:themeColor="text1" w:val="000000"/>
          <w:sz w:val="20"/>
          <w:szCs w:val="20"/>
        </w:rPr>
      </w:r>
    </w:p>
    <w:p>
      <w:pPr>
        <w:pStyle w:val="Normal"/>
        <w:ind w:right="425"/>
        <w:jc w:val="both"/>
        <w:rPr>
          <w:rFonts w:ascii="Arial" w:hAnsi="Arial" w:cs="Arial"/>
          <w:b/>
          <w:color w:themeColor="text1" w:val="000000"/>
          <w:sz w:val="20"/>
          <w:szCs w:val="20"/>
        </w:rPr>
      </w:pPr>
      <w:bookmarkStart w:id="0" w:name="_Hlk144912683"/>
      <w:r>
        <w:rPr>
          <w:rFonts w:cs="Arial" w:ascii="Arial" w:hAnsi="Arial"/>
          <w:b/>
          <w:color w:themeColor="text1" w:val="000000"/>
          <w:sz w:val="20"/>
          <w:szCs w:val="20"/>
        </w:rPr>
        <w:t>2026. gada jūlijā Rīgas mikrorajonos sērijveida dzīvokļu cenās bija vērojam</w:t>
      </w:r>
      <w:r>
        <w:rPr>
          <w:rFonts w:cs="Arial" w:ascii="Arial" w:hAnsi="Arial"/>
          <w:b/>
          <w:color w:themeColor="text1" w:val="000000"/>
          <w:sz w:val="20"/>
          <w:szCs w:val="20"/>
        </w:rPr>
        <w:t>a</w:t>
      </w:r>
      <w:r>
        <w:rPr>
          <w:rFonts w:cs="Arial" w:ascii="Arial" w:hAnsi="Arial"/>
          <w:b/>
          <w:color w:themeColor="text1" w:val="000000"/>
          <w:sz w:val="20"/>
          <w:szCs w:val="20"/>
        </w:rPr>
        <w:t>s cenu izmaiņas – mēneša laikā sērijveida dzīvokļu vidējā cena palielinājās par 0,4 %. Sērijveida dzīvokļu vidējā cena jūlijā pieaug</w:t>
      </w:r>
      <w:r>
        <w:rPr>
          <w:rFonts w:cs="Arial" w:ascii="Arial" w:hAnsi="Arial"/>
          <w:b/>
          <w:color w:themeColor="text1" w:val="000000"/>
          <w:sz w:val="20"/>
          <w:szCs w:val="20"/>
        </w:rPr>
        <w:t>a</w:t>
      </w:r>
      <w:r>
        <w:rPr>
          <w:rFonts w:cs="Arial" w:ascii="Arial" w:hAnsi="Arial"/>
          <w:b/>
          <w:color w:themeColor="text1" w:val="000000"/>
          <w:sz w:val="20"/>
          <w:szCs w:val="20"/>
        </w:rPr>
        <w:t xml:space="preserve"> līdz 963 EUR/m².</w:t>
      </w:r>
    </w:p>
    <w:p>
      <w:pPr>
        <w:pStyle w:val="Normal"/>
        <w:ind w:right="425"/>
        <w:jc w:val="both"/>
        <w:rPr>
          <w:rFonts w:ascii="Arial" w:hAnsi="Arial" w:cs="Arial"/>
          <w:b/>
          <w:color w:themeColor="text1" w:val="000000"/>
          <w:sz w:val="20"/>
          <w:szCs w:val="20"/>
        </w:rPr>
      </w:pPr>
      <w:r>
        <w:rPr>
          <w:rFonts w:cs="Arial" w:ascii="Arial" w:hAnsi="Arial"/>
          <w:b/>
          <w:color w:themeColor="text1" w:val="000000"/>
          <w:sz w:val="20"/>
          <w:szCs w:val="20"/>
        </w:rPr>
      </w:r>
    </w:p>
    <w:p>
      <w:pPr>
        <w:pStyle w:val="Normal"/>
        <w:ind w:right="425"/>
        <w:jc w:val="both"/>
        <w:rPr>
          <w:rFonts w:ascii="Arial" w:hAnsi="Arial" w:cs="Arial"/>
          <w:b/>
          <w:color w:themeColor="text1" w:val="000000"/>
          <w:sz w:val="20"/>
          <w:szCs w:val="20"/>
        </w:rPr>
      </w:pPr>
      <w:r>
        <w:rPr>
          <w:rFonts w:cs="Arial" w:ascii="Arial" w:hAnsi="Arial"/>
          <w:b/>
          <w:color w:themeColor="text1" w:val="000000"/>
          <w:sz w:val="20"/>
          <w:szCs w:val="20"/>
        </w:rPr>
        <w:t>Sērijveida dzīvokļu cenu izmaiņas kopš 2026. gada sākuma, %</w:t>
      </w:r>
    </w:p>
    <w:p>
      <w:pPr>
        <w:pStyle w:val="Normal"/>
        <w:ind w:right="425"/>
        <w:jc w:val="both"/>
        <w:rPr>
          <w:rFonts w:ascii="Arial" w:hAnsi="Arial" w:cs="Arial"/>
          <w:b/>
          <w:color w:themeColor="text1" w:val="000000"/>
          <w:sz w:val="20"/>
          <w:szCs w:val="20"/>
        </w:rPr>
      </w:pPr>
      <w:r>
        <w:rPr/>
      </w:r>
    </w:p>
    <w:p>
      <w:pPr>
        <w:pStyle w:val="Normal"/>
        <w:ind w:right="425"/>
        <w:jc w:val="both"/>
        <w:rPr>
          <w:rFonts w:ascii="Arial" w:hAnsi="Arial" w:cs="Arial"/>
          <w:b/>
          <w:color w:themeColor="text1" w:val="000000"/>
          <w:sz w:val="20"/>
          <w:szCs w:val="20"/>
        </w:rPr>
      </w:pPr>
      <w:r>
        <w:rPr/>
        <w:drawing>
          <wp:inline distT="0" distB="0" distL="0" distR="0">
            <wp:extent cx="6172200" cy="1470660"/>
            <wp:effectExtent l="0" t="0" r="0" b="0"/>
            <wp:docPr id="1" name="Picture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2" descr=""/>
                    <pic:cNvPicPr>
                      <a:picLocks noChangeAspect="1" noChangeArrowheads="1"/>
                    </pic:cNvPicPr>
                  </pic:nvPicPr>
                  <pic:blipFill>
                    <a:blip r:embed="rId2"/>
                    <a:stretch>
                      <a:fillRect/>
                    </a:stretch>
                  </pic:blipFill>
                  <pic:spPr bwMode="auto">
                    <a:xfrm>
                      <a:off x="0" y="0"/>
                      <a:ext cx="6172200" cy="1470660"/>
                    </a:xfrm>
                    <a:prstGeom prst="rect">
                      <a:avLst/>
                    </a:prstGeom>
                    <a:noFill/>
                  </pic:spPr>
                </pic:pic>
              </a:graphicData>
            </a:graphic>
          </wp:inline>
        </w:drawing>
      </w:r>
    </w:p>
    <w:p>
      <w:pPr>
        <w:pStyle w:val="Normal"/>
        <w:ind w:right="425"/>
        <w:jc w:val="both"/>
        <w:rPr>
          <w:rFonts w:ascii="Arial" w:hAnsi="Arial" w:cs="Arial"/>
          <w:iCs/>
          <w:color w:themeColor="text1" w:val="000000"/>
          <w:sz w:val="16"/>
          <w:szCs w:val="16"/>
        </w:rPr>
      </w:pPr>
      <w:r>
        <w:rPr>
          <w:rFonts w:cs="Arial" w:ascii="Arial" w:hAnsi="Arial"/>
          <w:iCs/>
          <w:color w:themeColor="text1" w:val="000000"/>
          <w:sz w:val="16"/>
          <w:szCs w:val="16"/>
        </w:rPr>
      </w:r>
    </w:p>
    <w:p>
      <w:pPr>
        <w:pStyle w:val="Normal"/>
        <w:ind w:right="425"/>
        <w:jc w:val="both"/>
        <w:rPr>
          <w:color w:val="808080"/>
        </w:rPr>
      </w:pPr>
      <w:r>
        <w:rPr>
          <w:rFonts w:cs="Arial" w:ascii="Arial" w:hAnsi="Arial"/>
          <w:iCs/>
          <w:color w:val="808080"/>
          <w:sz w:val="16"/>
          <w:szCs w:val="16"/>
        </w:rPr>
        <w:t>Avots: ARCO REAL ESTATE</w:t>
      </w:r>
    </w:p>
    <w:p>
      <w:pPr>
        <w:pStyle w:val="Normal"/>
        <w:ind w:right="425"/>
        <w:jc w:val="both"/>
        <w:rPr>
          <w:rFonts w:ascii="Arial" w:hAnsi="Arial" w:cs="Arial"/>
          <w:b/>
          <w:color w:themeColor="accent1" w:val="156082"/>
          <w:sz w:val="20"/>
          <w:szCs w:val="20"/>
        </w:rPr>
      </w:pPr>
      <w:r>
        <w:rPr>
          <w:rFonts w:cs="Arial" w:ascii="Arial" w:hAnsi="Arial"/>
          <w:b/>
          <w:color w:themeColor="accent1" w:val="156082"/>
          <w:sz w:val="20"/>
          <w:szCs w:val="20"/>
        </w:rPr>
      </w:r>
    </w:p>
    <w:p>
      <w:pPr>
        <w:pStyle w:val="Normal"/>
        <w:ind w:right="425"/>
        <w:jc w:val="both"/>
        <w:rPr>
          <w:rFonts w:ascii="Arial" w:hAnsi="Arial" w:cs="Arial"/>
          <w:color w:themeColor="text1" w:val="000000"/>
          <w:sz w:val="20"/>
          <w:szCs w:val="20"/>
        </w:rPr>
      </w:pPr>
      <w:r>
        <w:rPr>
          <w:rFonts w:cs="Arial" w:ascii="Arial" w:hAnsi="Arial"/>
          <w:color w:themeColor="text1" w:val="000000"/>
          <w:sz w:val="20"/>
          <w:szCs w:val="20"/>
        </w:rPr>
        <w:t xml:space="preserve">Jūlijā konstatētais vidējās cenas pieaugums </w:t>
      </w:r>
      <w:r>
        <w:rPr>
          <w:rFonts w:cs="Arial" w:ascii="Arial" w:hAnsi="Arial"/>
          <w:color w:themeColor="text1" w:val="000000"/>
          <w:sz w:val="20"/>
          <w:szCs w:val="20"/>
        </w:rPr>
        <w:t xml:space="preserve">šogad bija </w:t>
      </w:r>
      <w:r>
        <w:rPr>
          <w:rFonts w:cs="Arial" w:ascii="Arial" w:hAnsi="Arial"/>
          <w:color w:themeColor="text1" w:val="000000"/>
          <w:sz w:val="20"/>
          <w:szCs w:val="20"/>
        </w:rPr>
        <w:t>viens no mazākajiem. Kopumā dzīvokļu cenas kopš 2026. gada sākuma pieaug</w:t>
      </w:r>
      <w:r>
        <w:rPr>
          <w:rFonts w:cs="Arial" w:ascii="Arial" w:hAnsi="Arial"/>
          <w:color w:themeColor="text1" w:val="000000"/>
          <w:sz w:val="20"/>
          <w:szCs w:val="20"/>
        </w:rPr>
        <w:t>a</w:t>
      </w:r>
      <w:r>
        <w:rPr>
          <w:rFonts w:cs="Arial" w:ascii="Arial" w:hAnsi="Arial"/>
          <w:color w:themeColor="text1" w:val="000000"/>
          <w:sz w:val="20"/>
          <w:szCs w:val="20"/>
        </w:rPr>
        <w:t xml:space="preserve"> vidēji par vairāk nekā 8 %. </w:t>
      </w:r>
      <w:r>
        <w:rPr>
          <w:rFonts w:cs="Arial" w:ascii="Arial" w:hAnsi="Arial"/>
          <w:color w:themeColor="text1" w:val="000000"/>
          <w:sz w:val="20"/>
          <w:szCs w:val="20"/>
        </w:rPr>
        <w:t>Šogad d</w:t>
      </w:r>
      <w:r>
        <w:rPr>
          <w:rFonts w:cs="Arial" w:ascii="Arial" w:hAnsi="Arial"/>
          <w:color w:themeColor="text1" w:val="000000"/>
          <w:sz w:val="20"/>
          <w:szCs w:val="20"/>
        </w:rPr>
        <w:t>zīvokļu cenas p</w:t>
      </w:r>
      <w:r>
        <w:rPr>
          <w:rFonts w:cs="Arial" w:ascii="Arial" w:hAnsi="Arial"/>
          <w:color w:themeColor="text1" w:val="000000"/>
          <w:sz w:val="20"/>
          <w:szCs w:val="20"/>
        </w:rPr>
        <w:t>alielinājās</w:t>
      </w:r>
      <w:r>
        <w:rPr>
          <w:rFonts w:cs="Arial" w:ascii="Arial" w:hAnsi="Arial"/>
          <w:color w:themeColor="text1" w:val="000000"/>
          <w:sz w:val="20"/>
          <w:szCs w:val="20"/>
        </w:rPr>
        <w:t xml:space="preserve"> ik mēnesi un pieauguma tendence turpinās.</w:t>
      </w:r>
    </w:p>
    <w:p>
      <w:pPr>
        <w:pStyle w:val="Normal"/>
        <w:ind w:right="425"/>
        <w:jc w:val="both"/>
        <w:rPr>
          <w:rFonts w:ascii="Arial" w:hAnsi="Arial" w:cs="Arial"/>
          <w:color w:themeColor="accent1" w:val="156082"/>
          <w:sz w:val="20"/>
          <w:szCs w:val="20"/>
        </w:rPr>
      </w:pPr>
      <w:r>
        <w:rPr>
          <w:rFonts w:cs="Arial" w:ascii="Arial" w:hAnsi="Arial"/>
          <w:color w:themeColor="accent1" w:val="156082"/>
          <w:sz w:val="20"/>
          <w:szCs w:val="20"/>
        </w:rPr>
      </w:r>
      <w:bookmarkStart w:id="1" w:name="_Hlk62388575"/>
      <w:bookmarkStart w:id="2" w:name="_Hlk62388575"/>
    </w:p>
    <w:p>
      <w:pPr>
        <w:pStyle w:val="Normal"/>
        <w:ind w:right="425"/>
        <w:jc w:val="both"/>
        <w:rPr>
          <w:rFonts w:ascii="Arial" w:hAnsi="Arial" w:cs="Arial"/>
          <w:sz w:val="20"/>
          <w:szCs w:val="20"/>
        </w:rPr>
      </w:pPr>
      <w:r>
        <w:rPr>
          <w:rFonts w:cs="Arial" w:ascii="Arial" w:hAnsi="Arial"/>
          <w:sz w:val="20"/>
          <w:szCs w:val="20"/>
        </w:rPr>
        <w:t xml:space="preserve">Dzīvokļu piedāvājumu skaits jūlijā palielinājās, </w:t>
      </w:r>
      <w:r>
        <w:rPr>
          <w:rFonts w:cs="Arial" w:ascii="Arial" w:hAnsi="Arial"/>
          <w:sz w:val="20"/>
          <w:szCs w:val="20"/>
        </w:rPr>
        <w:t>t</w:t>
      </w:r>
      <w:r>
        <w:rPr>
          <w:rFonts w:cs="Arial" w:ascii="Arial" w:hAnsi="Arial"/>
          <w:sz w:val="20"/>
          <w:szCs w:val="20"/>
        </w:rPr>
        <w:t xml:space="preserve">omēr </w:t>
      </w:r>
      <w:r>
        <w:rPr>
          <w:rFonts w:cs="Arial" w:ascii="Arial" w:hAnsi="Arial"/>
          <w:sz w:val="20"/>
          <w:szCs w:val="20"/>
        </w:rPr>
        <w:t>tas</w:t>
      </w:r>
      <w:r>
        <w:rPr>
          <w:rFonts w:cs="Arial" w:ascii="Arial" w:hAnsi="Arial"/>
          <w:sz w:val="20"/>
          <w:szCs w:val="20"/>
        </w:rPr>
        <w:t xml:space="preserve"> joprojām </w:t>
      </w:r>
      <w:r>
        <w:rPr>
          <w:rFonts w:cs="Arial" w:ascii="Arial" w:hAnsi="Arial"/>
          <w:sz w:val="20"/>
          <w:szCs w:val="20"/>
        </w:rPr>
        <w:t>bija</w:t>
      </w:r>
      <w:r>
        <w:rPr>
          <w:rFonts w:cs="Arial" w:ascii="Arial" w:hAnsi="Arial"/>
          <w:sz w:val="20"/>
          <w:szCs w:val="20"/>
        </w:rPr>
        <w:t xml:space="preserve"> zemāks </w:t>
      </w:r>
      <w:r>
        <w:rPr>
          <w:rFonts w:cs="Arial" w:ascii="Arial" w:hAnsi="Arial"/>
          <w:sz w:val="20"/>
          <w:szCs w:val="20"/>
        </w:rPr>
        <w:t>ne</w:t>
      </w:r>
      <w:r>
        <w:rPr>
          <w:rFonts w:cs="Arial" w:ascii="Arial" w:hAnsi="Arial"/>
          <w:sz w:val="20"/>
          <w:szCs w:val="20"/>
        </w:rPr>
        <w:t>kā iepriekšējā gada jūlijā. 2026. gada jūlijā Rīgas lielākajos mikrorajonos bija gandrīz 1 200 dzīvokļu piedāvājumu.</w:t>
      </w:r>
      <w:bookmarkEnd w:id="2"/>
    </w:p>
    <w:p>
      <w:pPr>
        <w:pStyle w:val="Normal"/>
        <w:ind w:right="425"/>
        <w:jc w:val="both"/>
        <w:rPr>
          <w:rFonts w:ascii="Arial" w:hAnsi="Arial" w:cs="Arial"/>
          <w:b/>
          <w:color w:themeColor="accent1" w:val="156082"/>
          <w:sz w:val="20"/>
          <w:szCs w:val="20"/>
        </w:rPr>
      </w:pPr>
      <w:r>
        <w:rPr>
          <w:rFonts w:cs="Arial" w:ascii="Arial" w:hAnsi="Arial"/>
          <w:b/>
          <w:color w:themeColor="accent1" w:val="156082"/>
          <w:sz w:val="20"/>
          <w:szCs w:val="20"/>
        </w:rPr>
      </w:r>
    </w:p>
    <w:p>
      <w:pPr>
        <w:pStyle w:val="Normal"/>
        <w:ind w:right="425"/>
        <w:jc w:val="both"/>
        <w:rPr>
          <w:rFonts w:ascii="Arial" w:hAnsi="Arial" w:cs="Arial"/>
          <w:b/>
          <w:sz w:val="20"/>
          <w:szCs w:val="20"/>
        </w:rPr>
      </w:pPr>
      <w:r>
        <w:rPr>
          <w:rFonts w:cs="Arial" w:ascii="Arial" w:hAnsi="Arial"/>
          <w:b/>
          <w:sz w:val="20"/>
          <w:szCs w:val="20"/>
        </w:rPr>
        <w:t>Rīgas lielāko mikrorajonu dzīvokļu piedāvājuma dinamika</w:t>
      </w:r>
    </w:p>
    <w:p>
      <w:pPr>
        <w:pStyle w:val="Normal"/>
        <w:ind w:right="425"/>
        <w:jc w:val="both"/>
        <w:rPr>
          <w:rFonts w:ascii="Arial" w:hAnsi="Arial" w:cs="Arial"/>
          <w:b/>
          <w:sz w:val="20"/>
          <w:szCs w:val="20"/>
        </w:rPr>
      </w:pPr>
      <w:r>
        <w:rPr>
          <w:rFonts w:cs="Arial" w:ascii="Arial" w:hAnsi="Arial"/>
          <w:b/>
          <w:sz w:val="20"/>
          <w:szCs w:val="20"/>
        </w:rPr>
      </w:r>
    </w:p>
    <w:p>
      <w:pPr>
        <w:pStyle w:val="Normal"/>
        <w:ind w:right="425"/>
        <w:jc w:val="both"/>
        <w:rPr>
          <w:rFonts w:ascii="Arial" w:hAnsi="Arial" w:cs="Arial"/>
          <w:b/>
          <w:sz w:val="20"/>
          <w:szCs w:val="20"/>
        </w:rPr>
      </w:pPr>
      <w:r>
        <w:rPr/>
        <w:drawing>
          <wp:inline distT="0" distB="0" distL="0" distR="0">
            <wp:extent cx="6191250" cy="2916555"/>
            <wp:effectExtent l="0" t="0" r="0" b="0"/>
            <wp:docPr id="2"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
                    <pic:cNvPicPr>
                      <a:picLocks noChangeAspect="1" noChangeArrowheads="1"/>
                    </pic:cNvPicPr>
                  </pic:nvPicPr>
                  <pic:blipFill>
                    <a:blip r:embed="rId3"/>
                    <a:stretch>
                      <a:fillRect/>
                    </a:stretch>
                  </pic:blipFill>
                  <pic:spPr bwMode="auto">
                    <a:xfrm>
                      <a:off x="0" y="0"/>
                      <a:ext cx="6191250" cy="2916555"/>
                    </a:xfrm>
                    <a:prstGeom prst="rect">
                      <a:avLst/>
                    </a:prstGeom>
                    <a:noFill/>
                  </pic:spPr>
                </pic:pic>
              </a:graphicData>
            </a:graphic>
          </wp:inline>
        </w:drawing>
      </w:r>
    </w:p>
    <w:p>
      <w:pPr>
        <w:pStyle w:val="Normal"/>
        <w:ind w:right="425"/>
        <w:jc w:val="both"/>
        <w:rPr>
          <w:rFonts w:ascii="Arial" w:hAnsi="Arial" w:cs="Arial"/>
          <w:iCs/>
          <w:color w:themeColor="text1" w:val="000000"/>
          <w:sz w:val="16"/>
          <w:szCs w:val="16"/>
        </w:rPr>
      </w:pPr>
      <w:r>
        <w:rPr>
          <w:rFonts w:cs="Arial" w:ascii="Arial" w:hAnsi="Arial"/>
          <w:iCs/>
          <w:color w:themeColor="text1" w:val="000000"/>
          <w:sz w:val="16"/>
          <w:szCs w:val="16"/>
        </w:rPr>
      </w:r>
    </w:p>
    <w:p>
      <w:pPr>
        <w:pStyle w:val="Normal"/>
        <w:ind w:right="425"/>
        <w:jc w:val="both"/>
        <w:rPr>
          <w:color w:val="808080"/>
        </w:rPr>
      </w:pPr>
      <w:r>
        <w:rPr>
          <w:rFonts w:cs="Arial" w:ascii="Arial" w:hAnsi="Arial"/>
          <w:iCs/>
          <w:color w:val="808080"/>
          <w:sz w:val="16"/>
          <w:szCs w:val="16"/>
        </w:rPr>
        <w:t>Avots: ARCO REAL ESTATE</w:t>
      </w:r>
    </w:p>
    <w:p>
      <w:pPr>
        <w:pStyle w:val="Normal"/>
        <w:ind w:right="425"/>
        <w:jc w:val="both"/>
        <w:rPr>
          <w:rFonts w:ascii="Arial" w:hAnsi="Arial" w:cs="Arial"/>
          <w:color w:themeColor="accent1" w:val="156082"/>
          <w:sz w:val="20"/>
          <w:szCs w:val="20"/>
        </w:rPr>
      </w:pPr>
      <w:r>
        <w:rPr>
          <w:rFonts w:cs="Arial" w:ascii="Arial" w:hAnsi="Arial"/>
          <w:color w:themeColor="accent1" w:val="156082"/>
          <w:sz w:val="20"/>
          <w:szCs w:val="20"/>
        </w:rPr>
      </w:r>
    </w:p>
    <w:p>
      <w:pPr>
        <w:pStyle w:val="Normal"/>
        <w:ind w:right="425"/>
        <w:jc w:val="both"/>
        <w:rPr>
          <w:rFonts w:ascii="Arial" w:hAnsi="Arial" w:cs="Arial"/>
          <w:color w:themeColor="text1" w:val="000000"/>
          <w:sz w:val="20"/>
          <w:szCs w:val="20"/>
        </w:rPr>
      </w:pPr>
      <w:r>
        <w:rPr>
          <w:rFonts w:cs="Arial" w:ascii="Arial" w:hAnsi="Arial"/>
          <w:color w:themeColor="text1" w:val="000000"/>
          <w:sz w:val="20"/>
          <w:szCs w:val="20"/>
        </w:rPr>
        <w:t xml:space="preserve">Rīgas lielākajos mikrorajonos kopš 2026. gada sākuma dzīvokļu cenas palielinājās par 6-12 %. Lielākās cenu izmaiņas </w:t>
      </w:r>
      <w:r>
        <w:rPr>
          <w:rFonts w:cs="Arial" w:ascii="Arial" w:hAnsi="Arial"/>
          <w:color w:themeColor="text1" w:val="000000"/>
          <w:sz w:val="20"/>
          <w:szCs w:val="20"/>
        </w:rPr>
        <w:t xml:space="preserve">tika </w:t>
      </w:r>
      <w:r>
        <w:rPr>
          <w:rFonts w:cs="Arial" w:ascii="Arial" w:hAnsi="Arial"/>
          <w:color w:themeColor="text1" w:val="000000"/>
          <w:sz w:val="20"/>
          <w:szCs w:val="20"/>
        </w:rPr>
        <w:t>novēro</w:t>
      </w:r>
      <w:r>
        <w:rPr>
          <w:rFonts w:cs="Arial" w:ascii="Arial" w:hAnsi="Arial"/>
          <w:color w:themeColor="text1" w:val="000000"/>
          <w:sz w:val="20"/>
          <w:szCs w:val="20"/>
        </w:rPr>
        <w:t xml:space="preserve">tas </w:t>
      </w:r>
      <w:r>
        <w:rPr>
          <w:rFonts w:cs="Arial" w:ascii="Arial" w:hAnsi="Arial"/>
          <w:color w:themeColor="text1" w:val="000000"/>
          <w:sz w:val="20"/>
          <w:szCs w:val="20"/>
        </w:rPr>
        <w:t xml:space="preserve">Imantā, kur tās šogad palielinājās par 12 %. Arī Āgenskalnā šogad sērijveida dzīvokļu cenu pieaugums </w:t>
      </w:r>
      <w:r>
        <w:rPr>
          <w:rFonts w:cs="Arial" w:ascii="Arial" w:hAnsi="Arial"/>
          <w:color w:themeColor="text1" w:val="000000"/>
          <w:sz w:val="20"/>
          <w:szCs w:val="20"/>
        </w:rPr>
        <w:t xml:space="preserve">bija </w:t>
      </w:r>
      <w:r>
        <w:rPr>
          <w:rFonts w:cs="Arial" w:ascii="Arial" w:hAnsi="Arial"/>
          <w:color w:themeColor="text1" w:val="000000"/>
          <w:sz w:val="20"/>
          <w:szCs w:val="20"/>
        </w:rPr>
        <w:t xml:space="preserve">salīdzinoši lielāks </w:t>
      </w:r>
      <w:r>
        <w:rPr>
          <w:rFonts w:cs="Arial" w:ascii="Arial" w:hAnsi="Arial"/>
          <w:color w:themeColor="text1" w:val="000000"/>
          <w:sz w:val="20"/>
          <w:szCs w:val="20"/>
        </w:rPr>
        <w:t>ne</w:t>
      </w:r>
      <w:r>
        <w:rPr>
          <w:rFonts w:cs="Arial" w:ascii="Arial" w:hAnsi="Arial"/>
          <w:color w:themeColor="text1" w:val="000000"/>
          <w:sz w:val="20"/>
          <w:szCs w:val="20"/>
        </w:rPr>
        <w:t>kā citos mikrorajonos – cenas vidēji palielinājās par 10 %. Pārējos Rīgas mikrorajonos cenu izmaiņas šogad nepārsniedz</w:t>
      </w:r>
      <w:r>
        <w:rPr>
          <w:rFonts w:cs="Arial" w:ascii="Arial" w:hAnsi="Arial"/>
          <w:color w:themeColor="text1" w:val="000000"/>
          <w:sz w:val="20"/>
          <w:szCs w:val="20"/>
        </w:rPr>
        <w:t>a</w:t>
      </w:r>
      <w:r>
        <w:rPr>
          <w:rFonts w:cs="Arial" w:ascii="Arial" w:hAnsi="Arial"/>
          <w:color w:themeColor="text1" w:val="000000"/>
          <w:sz w:val="20"/>
          <w:szCs w:val="20"/>
        </w:rPr>
        <w:t xml:space="preserve"> 9 %. Vismazākās izmaiņas </w:t>
      </w:r>
      <w:r>
        <w:rPr>
          <w:rFonts w:cs="Arial" w:ascii="Arial" w:hAnsi="Arial"/>
          <w:color w:themeColor="text1" w:val="000000"/>
          <w:sz w:val="20"/>
          <w:szCs w:val="20"/>
        </w:rPr>
        <w:t>tika no</w:t>
      </w:r>
      <w:r>
        <w:rPr>
          <w:rFonts w:cs="Arial" w:ascii="Arial" w:hAnsi="Arial"/>
          <w:color w:themeColor="text1" w:val="000000"/>
          <w:sz w:val="20"/>
          <w:szCs w:val="20"/>
        </w:rPr>
        <w:t>vēro</w:t>
      </w:r>
      <w:r>
        <w:rPr>
          <w:rFonts w:cs="Arial" w:ascii="Arial" w:hAnsi="Arial"/>
          <w:color w:themeColor="text1" w:val="000000"/>
          <w:sz w:val="20"/>
          <w:szCs w:val="20"/>
        </w:rPr>
        <w:t>tas</w:t>
      </w:r>
      <w:r>
        <w:rPr>
          <w:rFonts w:cs="Arial" w:ascii="Arial" w:hAnsi="Arial"/>
          <w:color w:themeColor="text1" w:val="000000"/>
          <w:sz w:val="20"/>
          <w:szCs w:val="20"/>
        </w:rPr>
        <w:t xml:space="preserve"> cenu ziņā lētākajā mikrorajonā Bolderājā, kā arī dārgākajā mikrorajonā – Teikā. Abos šajos rajonos dzīvokļu cenu pieaugums bija vidēji 6 %.</w:t>
      </w:r>
    </w:p>
    <w:p>
      <w:pPr>
        <w:pStyle w:val="Normal"/>
        <w:ind w:right="425"/>
        <w:jc w:val="both"/>
        <w:rPr>
          <w:rFonts w:ascii="Arial" w:hAnsi="Arial" w:cs="Arial"/>
          <w:color w:themeColor="accent1" w:val="156082"/>
          <w:sz w:val="20"/>
          <w:szCs w:val="20"/>
        </w:rPr>
      </w:pPr>
      <w:r>
        <w:rPr>
          <w:rFonts w:cs="Arial" w:ascii="Arial" w:hAnsi="Arial"/>
          <w:color w:themeColor="accent1" w:val="156082"/>
          <w:sz w:val="20"/>
          <w:szCs w:val="20"/>
        </w:rPr>
      </w:r>
    </w:p>
    <w:p>
      <w:pPr>
        <w:pStyle w:val="Normal"/>
        <w:ind w:right="425"/>
        <w:jc w:val="both"/>
        <w:rPr>
          <w:rFonts w:ascii="Arial" w:hAnsi="Arial" w:cs="Arial"/>
          <w:color w:themeColor="accent1" w:val="156082"/>
          <w:sz w:val="20"/>
          <w:szCs w:val="20"/>
        </w:rPr>
      </w:pPr>
      <w:r>
        <w:rPr>
          <w:rFonts w:cs="Arial" w:ascii="Arial" w:hAnsi="Arial"/>
          <w:color w:themeColor="accent1" w:val="156082"/>
          <w:sz w:val="20"/>
          <w:szCs w:val="20"/>
        </w:rPr>
      </w:r>
    </w:p>
    <w:p>
      <w:pPr>
        <w:pStyle w:val="Normal"/>
        <w:ind w:right="425"/>
        <w:jc w:val="both"/>
        <w:rPr>
          <w:rFonts w:ascii="Arial" w:hAnsi="Arial" w:cs="Arial"/>
          <w:b/>
          <w:color w:themeColor="accent1" w:val="156082"/>
          <w:sz w:val="20"/>
          <w:szCs w:val="20"/>
        </w:rPr>
      </w:pPr>
      <w:r>
        <w:rPr>
          <w:rFonts w:cs="Arial" w:ascii="Arial" w:hAnsi="Arial"/>
          <w:b/>
          <w:color w:themeColor="accent1" w:val="156082"/>
          <w:sz w:val="20"/>
          <w:szCs w:val="20"/>
        </w:rPr>
      </w:r>
    </w:p>
    <w:p>
      <w:pPr>
        <w:pStyle w:val="Normal"/>
        <w:ind w:right="425"/>
        <w:jc w:val="both"/>
        <w:rPr>
          <w:rFonts w:ascii="Arial" w:hAnsi="Arial" w:cs="Arial"/>
          <w:b/>
          <w:color w:themeColor="text1" w:val="000000"/>
          <w:sz w:val="20"/>
          <w:szCs w:val="20"/>
        </w:rPr>
      </w:pPr>
      <w:r>
        <w:rPr>
          <w:rFonts w:cs="Arial" w:ascii="Arial" w:hAnsi="Arial"/>
          <w:b/>
          <w:color w:themeColor="text1" w:val="000000"/>
          <w:sz w:val="20"/>
          <w:szCs w:val="20"/>
        </w:rPr>
        <w:t>Dzīvokļu cenu izmaiņas Rīgas lielākajos mikrorajonos kopš 2026. gada 1. janvāra, %</w:t>
      </w:r>
    </w:p>
    <w:p>
      <w:pPr>
        <w:pStyle w:val="Normal"/>
        <w:ind w:right="425"/>
        <w:jc w:val="both"/>
        <w:rPr>
          <w:rFonts w:ascii="Arial" w:hAnsi="Arial" w:cs="Arial"/>
          <w:b/>
          <w:color w:themeColor="text1" w:val="000000"/>
          <w:sz w:val="20"/>
          <w:szCs w:val="20"/>
        </w:rPr>
      </w:pPr>
      <w:r>
        <w:rPr>
          <w:rFonts w:cs="Arial" w:ascii="Arial" w:hAnsi="Arial"/>
          <w:b/>
          <w:color w:themeColor="text1" w:val="000000"/>
          <w:sz w:val="20"/>
          <w:szCs w:val="20"/>
        </w:rPr>
      </w:r>
    </w:p>
    <w:p>
      <w:pPr>
        <w:pStyle w:val="Normal"/>
        <w:ind w:firstLine="1080" w:left="-1080" w:right="425"/>
        <w:jc w:val="both"/>
        <w:rPr>
          <w:rFonts w:ascii="Arial" w:hAnsi="Arial" w:cs="Arial"/>
          <w:color w:themeColor="text1" w:val="000000"/>
          <w:sz w:val="20"/>
          <w:szCs w:val="20"/>
        </w:rPr>
      </w:pPr>
      <w:r>
        <w:rPr/>
        <w:drawing>
          <wp:inline distT="0" distB="0" distL="0" distR="0">
            <wp:extent cx="6163310" cy="2597150"/>
            <wp:effectExtent l="0" t="0" r="0" b="0"/>
            <wp:docPr id="3" name="Pictur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1" descr=""/>
                    <pic:cNvPicPr>
                      <a:picLocks noChangeAspect="1" noChangeArrowheads="1"/>
                    </pic:cNvPicPr>
                  </pic:nvPicPr>
                  <pic:blipFill>
                    <a:blip r:embed="rId4"/>
                    <a:stretch>
                      <a:fillRect/>
                    </a:stretch>
                  </pic:blipFill>
                  <pic:spPr bwMode="auto">
                    <a:xfrm>
                      <a:off x="0" y="0"/>
                      <a:ext cx="6163310" cy="2597150"/>
                    </a:xfrm>
                    <a:prstGeom prst="rect">
                      <a:avLst/>
                    </a:prstGeom>
                    <a:noFill/>
                  </pic:spPr>
                </pic:pic>
              </a:graphicData>
            </a:graphic>
          </wp:inline>
        </w:drawing>
      </w:r>
    </w:p>
    <w:p>
      <w:pPr>
        <w:pStyle w:val="Normal"/>
        <w:ind w:right="425"/>
        <w:jc w:val="both"/>
        <w:rPr>
          <w:rFonts w:ascii="Arial" w:hAnsi="Arial" w:cs="Arial"/>
          <w:iCs/>
          <w:color w:themeColor="text1" w:val="000000"/>
          <w:sz w:val="16"/>
          <w:szCs w:val="16"/>
        </w:rPr>
      </w:pPr>
      <w:r>
        <w:rPr>
          <w:rFonts w:cs="Arial" w:ascii="Arial" w:hAnsi="Arial"/>
          <w:iCs/>
          <w:color w:themeColor="text1" w:val="000000"/>
          <w:sz w:val="16"/>
          <w:szCs w:val="16"/>
        </w:rPr>
      </w:r>
      <w:bookmarkStart w:id="3" w:name="OLE_LINK6"/>
      <w:bookmarkStart w:id="4" w:name="OLE_LINK5"/>
      <w:bookmarkStart w:id="5" w:name="OLE_LINK6"/>
      <w:bookmarkStart w:id="6" w:name="OLE_LINK5"/>
    </w:p>
    <w:p>
      <w:pPr>
        <w:pStyle w:val="Normal"/>
        <w:ind w:right="425"/>
        <w:jc w:val="both"/>
        <w:rPr>
          <w:color w:val="808080"/>
        </w:rPr>
      </w:pPr>
      <w:bookmarkStart w:id="7" w:name="OLE_LINK6"/>
      <w:bookmarkStart w:id="8" w:name="OLE_LINK5"/>
      <w:r>
        <w:rPr>
          <w:rFonts w:cs="Arial" w:ascii="Arial" w:hAnsi="Arial"/>
          <w:iCs/>
          <w:color w:val="808080"/>
          <w:sz w:val="16"/>
          <w:szCs w:val="16"/>
        </w:rPr>
        <w:t>Avots: ARCO REAL ESTATE</w:t>
      </w:r>
      <w:bookmarkEnd w:id="7"/>
      <w:bookmarkEnd w:id="8"/>
    </w:p>
    <w:p>
      <w:pPr>
        <w:pStyle w:val="Normal"/>
        <w:ind w:right="425"/>
        <w:jc w:val="both"/>
        <w:rPr>
          <w:rFonts w:ascii="Arial" w:hAnsi="Arial" w:cs="Arial"/>
          <w:color w:themeColor="accent1" w:val="156082"/>
          <w:sz w:val="20"/>
          <w:szCs w:val="20"/>
        </w:rPr>
      </w:pPr>
      <w:r>
        <w:rPr>
          <w:rFonts w:cs="Arial" w:ascii="Arial" w:hAnsi="Arial"/>
          <w:color w:themeColor="accent1" w:val="156082"/>
          <w:sz w:val="20"/>
          <w:szCs w:val="20"/>
        </w:rPr>
      </w:r>
    </w:p>
    <w:p>
      <w:pPr>
        <w:pStyle w:val="Normal"/>
        <w:ind w:right="425"/>
        <w:jc w:val="both"/>
        <w:rPr>
          <w:rFonts w:ascii="Arial" w:hAnsi="Arial" w:cs="Arial"/>
          <w:color w:themeColor="text1" w:val="000000"/>
          <w:sz w:val="20"/>
          <w:szCs w:val="20"/>
        </w:rPr>
      </w:pPr>
      <w:r>
        <w:rPr>
          <w:rFonts w:cs="Arial" w:ascii="Arial" w:hAnsi="Arial"/>
          <w:color w:themeColor="text1" w:val="000000"/>
          <w:sz w:val="20"/>
          <w:szCs w:val="20"/>
        </w:rPr>
        <w:t>Jūlijā sērijveida dzīvokļu vidējā cena palielinājās līdz 963 EUR/m². Cenas bija par vidēji 41 % zemākas nekā 2007. gada 1. jūlijā, kad neremontēta sērijveida dzīvokļa vidējā cena sasniedza visu laiku augstāko atzīmi – 1 620 EUR/m².</w:t>
      </w:r>
    </w:p>
    <w:p>
      <w:pPr>
        <w:pStyle w:val="Normal"/>
        <w:tabs>
          <w:tab w:val="clear" w:pos="720"/>
          <w:tab w:val="left" w:pos="975" w:leader="none"/>
        </w:tabs>
        <w:ind w:right="425"/>
        <w:jc w:val="both"/>
        <w:rPr>
          <w:rFonts w:ascii="Arial" w:hAnsi="Arial" w:cs="Arial"/>
          <w:b/>
          <w:color w:themeColor="text1" w:val="000000"/>
          <w:sz w:val="20"/>
          <w:szCs w:val="20"/>
        </w:rPr>
      </w:pPr>
      <w:r>
        <w:rPr>
          <w:rFonts w:cs="Arial" w:ascii="Arial" w:hAnsi="Arial"/>
          <w:b/>
          <w:color w:themeColor="text1" w:val="000000"/>
          <w:sz w:val="20"/>
          <w:szCs w:val="20"/>
        </w:rPr>
      </w:r>
    </w:p>
    <w:p>
      <w:pPr>
        <w:pStyle w:val="Normal"/>
        <w:tabs>
          <w:tab w:val="clear" w:pos="720"/>
          <w:tab w:val="left" w:pos="975" w:leader="none"/>
        </w:tabs>
        <w:ind w:right="425"/>
        <w:jc w:val="both"/>
        <w:rPr>
          <w:rFonts w:ascii="Arial" w:hAnsi="Arial" w:cs="Arial"/>
          <w:b/>
          <w:color w:themeColor="text1" w:val="000000"/>
          <w:sz w:val="20"/>
          <w:szCs w:val="20"/>
        </w:rPr>
      </w:pPr>
      <w:r>
        <w:rPr>
          <w:rFonts w:cs="Arial" w:ascii="Arial" w:hAnsi="Arial"/>
          <w:b/>
          <w:color w:themeColor="text1" w:val="000000"/>
          <w:sz w:val="20"/>
          <w:szCs w:val="20"/>
        </w:rPr>
        <w:t>Rīgas lielāko mikrorajonu sērijveida dzīvokļu vidējās cenas dinamika, EUR/m²</w:t>
      </w:r>
    </w:p>
    <w:p>
      <w:pPr>
        <w:pStyle w:val="Normal"/>
        <w:tabs>
          <w:tab w:val="clear" w:pos="720"/>
          <w:tab w:val="left" w:pos="975" w:leader="none"/>
        </w:tabs>
        <w:ind w:right="425"/>
        <w:jc w:val="both"/>
        <w:rPr>
          <w:rFonts w:ascii="Arial" w:hAnsi="Arial" w:cs="Arial"/>
          <w:b/>
          <w:color w:themeColor="text1" w:val="000000"/>
          <w:sz w:val="20"/>
          <w:szCs w:val="20"/>
        </w:rPr>
      </w:pPr>
      <w:r>
        <w:rPr/>
      </w:r>
    </w:p>
    <w:p>
      <w:pPr>
        <w:pStyle w:val="Normal"/>
        <w:tabs>
          <w:tab w:val="clear" w:pos="720"/>
          <w:tab w:val="left" w:pos="975" w:leader="none"/>
        </w:tabs>
        <w:ind w:right="425"/>
        <w:jc w:val="both"/>
        <w:rPr>
          <w:rFonts w:ascii="Arial" w:hAnsi="Arial" w:cs="Arial"/>
          <w:b/>
          <w:color w:themeColor="text1" w:val="000000"/>
          <w:sz w:val="20"/>
          <w:szCs w:val="20"/>
        </w:rPr>
      </w:pPr>
      <w:r>
        <w:rPr/>
        <w:drawing>
          <wp:inline distT="0" distB="0" distL="0" distR="0">
            <wp:extent cx="6282055" cy="2648585"/>
            <wp:effectExtent l="0" t="0" r="0" b="0"/>
            <wp:docPr id="4"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0" descr=""/>
                    <pic:cNvPicPr>
                      <a:picLocks noChangeAspect="1" noChangeArrowheads="1"/>
                    </pic:cNvPicPr>
                  </pic:nvPicPr>
                  <pic:blipFill>
                    <a:blip r:embed="rId5"/>
                    <a:stretch>
                      <a:fillRect/>
                    </a:stretch>
                  </pic:blipFill>
                  <pic:spPr bwMode="auto">
                    <a:xfrm>
                      <a:off x="0" y="0"/>
                      <a:ext cx="6282055" cy="2648585"/>
                    </a:xfrm>
                    <a:prstGeom prst="rect">
                      <a:avLst/>
                    </a:prstGeom>
                    <a:noFill/>
                  </pic:spPr>
                </pic:pic>
              </a:graphicData>
            </a:graphic>
          </wp:inline>
        </w:drawing>
      </w:r>
    </w:p>
    <w:p>
      <w:pPr>
        <w:pStyle w:val="Normal"/>
        <w:ind w:right="425"/>
        <w:jc w:val="both"/>
        <w:rPr>
          <w:rFonts w:ascii="Arial" w:hAnsi="Arial" w:cs="Arial"/>
          <w:iCs/>
          <w:color w:themeColor="text1" w:val="000000"/>
          <w:sz w:val="16"/>
          <w:szCs w:val="16"/>
        </w:rPr>
      </w:pPr>
      <w:r>
        <w:rPr/>
      </w:r>
    </w:p>
    <w:p>
      <w:pPr>
        <w:pStyle w:val="Normal"/>
        <w:ind w:right="425"/>
        <w:jc w:val="both"/>
        <w:rPr>
          <w:color w:val="808080"/>
        </w:rPr>
      </w:pPr>
      <w:r>
        <w:rPr>
          <w:rFonts w:cs="Arial" w:ascii="Arial" w:hAnsi="Arial"/>
          <w:iCs/>
          <w:color w:val="808080"/>
          <w:sz w:val="16"/>
          <w:szCs w:val="16"/>
        </w:rPr>
        <w:t>Avots: ARCO REAL ESTATE</w:t>
      </w:r>
    </w:p>
    <w:p>
      <w:pPr>
        <w:pStyle w:val="Normal"/>
        <w:ind w:right="425"/>
        <w:jc w:val="both"/>
        <w:rPr>
          <w:rFonts w:ascii="Arial" w:hAnsi="Arial" w:cs="Arial"/>
          <w:b/>
          <w:color w:themeColor="accent1" w:val="156082"/>
          <w:sz w:val="20"/>
          <w:szCs w:val="20"/>
        </w:rPr>
      </w:pPr>
      <w:r>
        <w:rPr>
          <w:rFonts w:cs="Arial" w:ascii="Arial" w:hAnsi="Arial"/>
          <w:b/>
          <w:color w:themeColor="accent1" w:val="156082"/>
          <w:sz w:val="20"/>
          <w:szCs w:val="20"/>
        </w:rPr>
      </w:r>
      <w:r>
        <w:br w:type="page"/>
      </w:r>
    </w:p>
    <w:p>
      <w:pPr>
        <w:pStyle w:val="Normal"/>
        <w:spacing w:before="0" w:after="0"/>
        <w:ind w:right="425"/>
        <w:jc w:val="both"/>
        <w:rPr>
          <w:rFonts w:ascii="Arial" w:hAnsi="Arial" w:cs="Arial"/>
          <w:b/>
          <w:color w:themeColor="text1" w:val="000000"/>
          <w:sz w:val="20"/>
          <w:szCs w:val="20"/>
        </w:rPr>
      </w:pPr>
      <w:r>
        <w:rPr>
          <w:rFonts w:cs="Arial" w:ascii="Arial" w:hAnsi="Arial"/>
          <w:b/>
          <w:color w:themeColor="text1" w:val="000000"/>
          <w:sz w:val="20"/>
          <w:szCs w:val="20"/>
        </w:rPr>
        <w:t>Rīgas mikrorajonu sērijveida dzīvokļu cenu izmaiņas, %</w:t>
      </w:r>
    </w:p>
    <w:p>
      <w:pPr>
        <w:pStyle w:val="Normal"/>
        <w:ind w:right="425"/>
        <w:jc w:val="both"/>
        <w:rPr>
          <w:rFonts w:ascii="Arial" w:hAnsi="Arial" w:cs="Arial"/>
          <w:b/>
          <w:color w:themeColor="text1" w:val="000000"/>
          <w:sz w:val="20"/>
          <w:szCs w:val="20"/>
        </w:rPr>
      </w:pPr>
      <w:r>
        <w:rPr>
          <w:rFonts w:cs="Arial" w:ascii="Arial" w:hAnsi="Arial"/>
          <w:b/>
          <w:color w:themeColor="text1" w:val="000000"/>
          <w:sz w:val="20"/>
          <w:szCs w:val="20"/>
        </w:rPr>
      </w:r>
    </w:p>
    <w:p>
      <w:pPr>
        <w:pStyle w:val="Normal"/>
        <w:tabs>
          <w:tab w:val="clear" w:pos="720"/>
          <w:tab w:val="left" w:pos="975" w:leader="none"/>
        </w:tabs>
        <w:ind w:right="425"/>
        <w:jc w:val="both"/>
        <w:rPr>
          <w:rFonts w:ascii="Arial" w:hAnsi="Arial" w:cs="Arial"/>
          <w:b/>
          <w:color w:themeColor="text1" w:val="000000"/>
          <w:sz w:val="20"/>
          <w:szCs w:val="20"/>
        </w:rPr>
      </w:pPr>
      <w:r>
        <w:rPr/>
        <w:drawing>
          <wp:inline distT="0" distB="0" distL="0" distR="0">
            <wp:extent cx="6181725" cy="3785870"/>
            <wp:effectExtent l="0" t="0" r="0" b="0"/>
            <wp:docPr id="5"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
                    <pic:cNvPicPr>
                      <a:picLocks noChangeAspect="1" noChangeArrowheads="1"/>
                    </pic:cNvPicPr>
                  </pic:nvPicPr>
                  <pic:blipFill>
                    <a:blip r:embed="rId6"/>
                    <a:stretch>
                      <a:fillRect/>
                    </a:stretch>
                  </pic:blipFill>
                  <pic:spPr bwMode="auto">
                    <a:xfrm>
                      <a:off x="0" y="0"/>
                      <a:ext cx="6181725" cy="3785870"/>
                    </a:xfrm>
                    <a:prstGeom prst="rect">
                      <a:avLst/>
                    </a:prstGeom>
                    <a:noFill/>
                  </pic:spPr>
                </pic:pic>
              </a:graphicData>
            </a:graphic>
          </wp:inline>
        </w:drawing>
      </w:r>
    </w:p>
    <w:p>
      <w:pPr>
        <w:pStyle w:val="Normal"/>
        <w:ind w:right="425"/>
        <w:jc w:val="both"/>
        <w:rPr>
          <w:rFonts w:ascii="Arial" w:hAnsi="Arial" w:cs="Arial"/>
          <w:iCs/>
          <w:color w:themeColor="text1" w:val="000000"/>
          <w:sz w:val="16"/>
          <w:szCs w:val="16"/>
        </w:rPr>
      </w:pPr>
      <w:r>
        <w:rPr>
          <w:rFonts w:cs="Arial" w:ascii="Arial" w:hAnsi="Arial"/>
          <w:iCs/>
          <w:color w:themeColor="text1" w:val="000000"/>
          <w:sz w:val="16"/>
          <w:szCs w:val="16"/>
        </w:rPr>
      </w:r>
    </w:p>
    <w:p>
      <w:pPr>
        <w:pStyle w:val="Normal"/>
        <w:ind w:right="425"/>
        <w:jc w:val="both"/>
        <w:rPr>
          <w:color w:val="808080"/>
        </w:rPr>
      </w:pPr>
      <w:bookmarkStart w:id="9" w:name="_Hlk144912683"/>
      <w:r>
        <w:rPr>
          <w:rFonts w:cs="Arial" w:ascii="Arial" w:hAnsi="Arial"/>
          <w:iCs/>
          <w:color w:val="808080"/>
          <w:sz w:val="16"/>
          <w:szCs w:val="16"/>
        </w:rPr>
        <w:t>Avots: ARCO REAL ESTATE</w:t>
      </w:r>
      <w:bookmarkEnd w:id="9"/>
    </w:p>
    <w:p>
      <w:pPr>
        <w:pStyle w:val="Normal"/>
        <w:tabs>
          <w:tab w:val="clear" w:pos="720"/>
          <w:tab w:val="left" w:pos="975" w:leader="none"/>
        </w:tabs>
        <w:ind w:right="425"/>
        <w:jc w:val="both"/>
        <w:rPr>
          <w:rFonts w:ascii="Arial" w:hAnsi="Arial" w:cs="Arial"/>
          <w:b/>
          <w:color w:themeColor="accent1" w:val="156082"/>
          <w:sz w:val="20"/>
          <w:szCs w:val="20"/>
        </w:rPr>
      </w:pPr>
      <w:r>
        <w:rPr>
          <w:rFonts w:cs="Arial" w:ascii="Arial" w:hAnsi="Arial"/>
          <w:b/>
          <w:color w:themeColor="accent1" w:val="156082"/>
          <w:sz w:val="20"/>
          <w:szCs w:val="20"/>
        </w:rPr>
      </w:r>
    </w:p>
    <w:p>
      <w:pPr>
        <w:pStyle w:val="Normal"/>
        <w:ind w:right="425"/>
        <w:jc w:val="both"/>
        <w:rPr>
          <w:rFonts w:ascii="Arial" w:hAnsi="Arial" w:cs="Arial"/>
          <w:color w:themeColor="text1" w:val="000000"/>
          <w:sz w:val="20"/>
          <w:szCs w:val="20"/>
        </w:rPr>
      </w:pPr>
      <w:r>
        <w:rPr>
          <w:rFonts w:cs="Arial" w:ascii="Arial" w:hAnsi="Arial"/>
          <w:color w:themeColor="text1" w:val="000000"/>
          <w:sz w:val="20"/>
          <w:szCs w:val="20"/>
        </w:rPr>
        <w:t xml:space="preserve">Sērijveida dzīvokļu viena kvadrātmetra vidējā cena jūlijā palielinājās vienas istabas dzīvokļiem (+0,2 %), divu istabu dzīvokļiem (+0,4 %), trīs istabu dzīvokļiem (+0,7 %) un četru istabu dzīvokļiem (+0,4 %). Kopš šī gada sākuma visvairāk </w:t>
      </w:r>
      <w:r>
        <w:rPr>
          <w:rFonts w:cs="Arial" w:ascii="Arial" w:hAnsi="Arial"/>
          <w:color w:themeColor="text1" w:val="000000"/>
          <w:sz w:val="20"/>
          <w:szCs w:val="20"/>
        </w:rPr>
        <w:t>pieauga</w:t>
      </w:r>
      <w:r>
        <w:rPr>
          <w:rFonts w:cs="Arial" w:ascii="Arial" w:hAnsi="Arial"/>
          <w:color w:themeColor="text1" w:val="000000"/>
          <w:sz w:val="20"/>
          <w:szCs w:val="20"/>
        </w:rPr>
        <w:t xml:space="preserve"> divu istabu dzīvokļu cena (+9,1 %).</w:t>
      </w:r>
    </w:p>
    <w:p>
      <w:pPr>
        <w:pStyle w:val="Normal"/>
        <w:ind w:right="425"/>
        <w:jc w:val="both"/>
        <w:rPr>
          <w:rFonts w:ascii="Arial" w:hAnsi="Arial" w:cs="Arial"/>
          <w:b/>
          <w:color w:themeColor="accent1" w:val="156082"/>
          <w:sz w:val="20"/>
          <w:szCs w:val="20"/>
        </w:rPr>
      </w:pPr>
      <w:r>
        <w:rPr>
          <w:rFonts w:cs="Arial" w:ascii="Arial" w:hAnsi="Arial"/>
          <w:b/>
          <w:color w:themeColor="accent1" w:val="156082"/>
          <w:sz w:val="20"/>
          <w:szCs w:val="20"/>
        </w:rPr>
      </w:r>
    </w:p>
    <w:p>
      <w:pPr>
        <w:pStyle w:val="Normal"/>
        <w:ind w:right="425"/>
        <w:rPr>
          <w:rFonts w:ascii="Arial" w:hAnsi="Arial" w:cs="Arial"/>
          <w:b/>
          <w:color w:themeColor="text1" w:val="000000"/>
          <w:sz w:val="20"/>
          <w:szCs w:val="20"/>
        </w:rPr>
      </w:pPr>
      <w:r>
        <w:rPr>
          <w:rFonts w:cs="Arial" w:ascii="Arial" w:hAnsi="Arial"/>
          <w:b/>
          <w:color w:themeColor="text1" w:val="000000"/>
          <w:sz w:val="20"/>
          <w:szCs w:val="20"/>
        </w:rPr>
        <w:t>Sērijveida dzīvokļu vidējās cenas Rīgas mikrorajonos dalījumā pēc istabu skaita, EUR/m²</w:t>
      </w:r>
    </w:p>
    <w:p>
      <w:pPr>
        <w:pStyle w:val="Normal"/>
        <w:ind w:right="425"/>
        <w:rPr>
          <w:rFonts w:ascii="Arial" w:hAnsi="Arial" w:cs="Arial"/>
          <w:b/>
          <w:color w:themeColor="text1" w:val="000000"/>
          <w:sz w:val="20"/>
          <w:szCs w:val="20"/>
        </w:rPr>
      </w:pPr>
      <w:r>
        <w:rPr>
          <w:rFonts w:cs="Arial" w:ascii="Arial" w:hAnsi="Arial"/>
          <w:b/>
          <w:color w:themeColor="text1" w:val="000000"/>
          <w:sz w:val="20"/>
          <w:szCs w:val="20"/>
        </w:rPr>
      </w:r>
    </w:p>
    <w:p>
      <w:pPr>
        <w:pStyle w:val="Normal"/>
        <w:ind w:right="425"/>
        <w:rPr>
          <w:rFonts w:ascii="Arial" w:hAnsi="Arial" w:cs="Arial"/>
          <w:b/>
          <w:color w:themeColor="text1" w:val="000000"/>
          <w:sz w:val="20"/>
          <w:szCs w:val="20"/>
        </w:rPr>
      </w:pPr>
      <w:r>
        <w:rPr/>
        <w:drawing>
          <wp:inline distT="0" distB="0" distL="0" distR="0">
            <wp:extent cx="6257925" cy="1693545"/>
            <wp:effectExtent l="0" t="0" r="0" b="0"/>
            <wp:docPr id="6"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9" descr=""/>
                    <pic:cNvPicPr>
                      <a:picLocks noChangeAspect="1" noChangeArrowheads="1"/>
                    </pic:cNvPicPr>
                  </pic:nvPicPr>
                  <pic:blipFill>
                    <a:blip r:embed="rId7"/>
                    <a:stretch>
                      <a:fillRect/>
                    </a:stretch>
                  </pic:blipFill>
                  <pic:spPr bwMode="auto">
                    <a:xfrm>
                      <a:off x="0" y="0"/>
                      <a:ext cx="6257925" cy="1693545"/>
                    </a:xfrm>
                    <a:prstGeom prst="rect">
                      <a:avLst/>
                    </a:prstGeom>
                    <a:noFill/>
                  </pic:spPr>
                </pic:pic>
              </a:graphicData>
            </a:graphic>
          </wp:inline>
        </w:drawing>
      </w:r>
    </w:p>
    <w:p>
      <w:pPr>
        <w:pStyle w:val="Normal"/>
        <w:ind w:right="425"/>
        <w:jc w:val="both"/>
        <w:rPr>
          <w:rFonts w:ascii="Arial" w:hAnsi="Arial" w:cs="Arial"/>
          <w:i/>
          <w:i/>
          <w:color w:themeColor="text1" w:val="000000"/>
          <w:sz w:val="16"/>
          <w:szCs w:val="16"/>
        </w:rPr>
      </w:pPr>
      <w:r>
        <w:rPr>
          <w:rFonts w:cs="Arial" w:ascii="Arial" w:hAnsi="Arial"/>
          <w:i/>
          <w:color w:themeColor="text1" w:val="000000"/>
          <w:sz w:val="16"/>
          <w:szCs w:val="16"/>
        </w:rPr>
      </w:r>
    </w:p>
    <w:p>
      <w:pPr>
        <w:pStyle w:val="Normal"/>
        <w:ind w:right="425"/>
        <w:jc w:val="both"/>
        <w:rPr>
          <w:color w:val="808080"/>
        </w:rPr>
      </w:pPr>
      <w:r>
        <w:rPr>
          <w:rFonts w:cs="Arial" w:ascii="Arial" w:hAnsi="Arial"/>
          <w:iCs/>
          <w:color w:val="808080"/>
          <w:sz w:val="16"/>
          <w:szCs w:val="16"/>
        </w:rPr>
        <w:t>Avots: ARCO REAL ESTATE</w:t>
      </w:r>
    </w:p>
    <w:p>
      <w:pPr>
        <w:pStyle w:val="Normal"/>
        <w:ind w:right="425"/>
        <w:jc w:val="both"/>
        <w:rPr>
          <w:rFonts w:ascii="Arial" w:hAnsi="Arial" w:cs="Arial"/>
          <w:color w:themeColor="accent1" w:val="156082"/>
          <w:sz w:val="20"/>
          <w:szCs w:val="20"/>
        </w:rPr>
      </w:pPr>
      <w:r>
        <w:rPr>
          <w:rFonts w:cs="Arial" w:ascii="Arial" w:hAnsi="Arial"/>
          <w:color w:themeColor="accent1" w:val="156082"/>
          <w:sz w:val="20"/>
          <w:szCs w:val="20"/>
        </w:rPr>
      </w:r>
    </w:p>
    <w:p>
      <w:pPr>
        <w:pStyle w:val="Normal"/>
        <w:ind w:right="425"/>
        <w:jc w:val="both"/>
        <w:rPr>
          <w:rFonts w:ascii="Arial" w:hAnsi="Arial" w:cs="Arial"/>
          <w:sz w:val="20"/>
          <w:szCs w:val="20"/>
        </w:rPr>
      </w:pPr>
      <w:r>
        <w:rPr>
          <w:rFonts w:cs="Arial" w:ascii="Arial" w:hAnsi="Arial"/>
          <w:sz w:val="20"/>
          <w:szCs w:val="20"/>
        </w:rPr>
        <w:t>Salīdzinot ar iepriekšējo mēnesi, jūlijā dzīvokļu piedāvājums Rīgā palielināj</w:t>
      </w:r>
      <w:r>
        <w:rPr>
          <w:rFonts w:cs="Arial" w:ascii="Arial" w:hAnsi="Arial"/>
          <w:sz w:val="20"/>
          <w:szCs w:val="20"/>
        </w:rPr>
        <w:t>ās</w:t>
      </w:r>
      <w:r>
        <w:rPr>
          <w:rFonts w:cs="Arial" w:ascii="Arial" w:hAnsi="Arial"/>
          <w:sz w:val="20"/>
          <w:szCs w:val="20"/>
        </w:rPr>
        <w:t xml:space="preserve"> par 4 %. Piedāvājumu skaits “</w:t>
      </w:r>
      <w:r>
        <w:rPr>
          <w:rFonts w:cs="Arial" w:ascii="Arial" w:hAnsi="Arial"/>
          <w:iCs/>
          <w:sz w:val="20"/>
          <w:szCs w:val="20"/>
        </w:rPr>
        <w:t>ARCO REAL ESTATE”</w:t>
      </w:r>
      <w:r>
        <w:rPr>
          <w:rFonts w:cs="Arial" w:ascii="Arial" w:hAnsi="Arial"/>
          <w:sz w:val="20"/>
          <w:szCs w:val="20"/>
        </w:rPr>
        <w:t xml:space="preserve"> analizētajos Rīgas lielākajos mikrorajonos arī palielināj</w:t>
      </w:r>
      <w:r>
        <w:rPr>
          <w:rFonts w:cs="Arial" w:ascii="Arial" w:hAnsi="Arial"/>
          <w:sz w:val="20"/>
          <w:szCs w:val="20"/>
        </w:rPr>
        <w:t>ās</w:t>
      </w:r>
      <w:r>
        <w:rPr>
          <w:rFonts w:cs="Arial" w:ascii="Arial" w:hAnsi="Arial"/>
          <w:sz w:val="20"/>
          <w:szCs w:val="20"/>
        </w:rPr>
        <w:t xml:space="preserve"> – par 6 %. Salīdzinot ar 2025. gada jūliju, dzīvokļu piedāvājums kopumā </w:t>
      </w:r>
      <w:r>
        <w:rPr>
          <w:rFonts w:cs="Arial" w:ascii="Arial" w:hAnsi="Arial"/>
          <w:sz w:val="20"/>
          <w:szCs w:val="20"/>
        </w:rPr>
        <w:t>bija</w:t>
      </w:r>
      <w:r>
        <w:rPr>
          <w:rFonts w:cs="Arial" w:ascii="Arial" w:hAnsi="Arial"/>
          <w:sz w:val="20"/>
          <w:szCs w:val="20"/>
        </w:rPr>
        <w:t xml:space="preserve"> mazāks: kopējais dzīvokļu piedāvājumu skaits </w:t>
      </w:r>
      <w:r>
        <w:rPr>
          <w:rFonts w:cs="Arial" w:ascii="Arial" w:hAnsi="Arial"/>
          <w:sz w:val="20"/>
          <w:szCs w:val="20"/>
        </w:rPr>
        <w:t>bija</w:t>
      </w:r>
      <w:r>
        <w:rPr>
          <w:rFonts w:cs="Arial" w:ascii="Arial" w:hAnsi="Arial"/>
          <w:sz w:val="20"/>
          <w:szCs w:val="20"/>
        </w:rPr>
        <w:t xml:space="preserve"> </w:t>
      </w:r>
      <w:r>
        <w:rPr>
          <w:rFonts w:cs="Arial" w:ascii="Arial" w:hAnsi="Arial"/>
          <w:sz w:val="20"/>
          <w:szCs w:val="20"/>
        </w:rPr>
        <w:t xml:space="preserve">mazāks </w:t>
      </w:r>
      <w:r>
        <w:rPr>
          <w:rFonts w:cs="Arial" w:ascii="Arial" w:hAnsi="Arial"/>
          <w:sz w:val="20"/>
          <w:szCs w:val="20"/>
        </w:rPr>
        <w:t xml:space="preserve">par 13 %, bet lielāko mikrorajonu dzīvokļu piedāvājums – par 19 % </w:t>
      </w:r>
      <w:r>
        <w:rPr>
          <w:rFonts w:cs="Arial" w:ascii="Arial" w:hAnsi="Arial"/>
          <w:sz w:val="20"/>
          <w:szCs w:val="20"/>
        </w:rPr>
        <w:t>mazāks</w:t>
      </w:r>
      <w:r>
        <w:rPr>
          <w:rFonts w:cs="Arial" w:ascii="Arial" w:hAnsi="Arial"/>
          <w:sz w:val="20"/>
          <w:szCs w:val="20"/>
        </w:rPr>
        <w:t>.</w:t>
      </w:r>
    </w:p>
    <w:p>
      <w:pPr>
        <w:pStyle w:val="Normal"/>
        <w:ind w:right="425"/>
        <w:jc w:val="both"/>
        <w:rPr>
          <w:rFonts w:ascii="Arial" w:hAnsi="Arial" w:cs="Arial"/>
          <w:b/>
          <w:color w:themeColor="accent1" w:val="156082"/>
          <w:sz w:val="20"/>
          <w:szCs w:val="20"/>
        </w:rPr>
      </w:pPr>
      <w:r>
        <w:rPr>
          <w:rFonts w:cs="Arial" w:ascii="Arial" w:hAnsi="Arial"/>
          <w:b/>
          <w:color w:themeColor="accent1" w:val="156082"/>
          <w:sz w:val="20"/>
          <w:szCs w:val="20"/>
        </w:rPr>
      </w:r>
      <w:r>
        <w:br w:type="page"/>
      </w:r>
    </w:p>
    <w:p>
      <w:pPr>
        <w:pStyle w:val="Normal"/>
        <w:spacing w:before="0" w:after="0"/>
        <w:ind w:right="425"/>
        <w:jc w:val="both"/>
        <w:rPr>
          <w:rFonts w:ascii="Arial" w:hAnsi="Arial" w:cs="Arial"/>
          <w:b/>
          <w:sz w:val="20"/>
          <w:szCs w:val="20"/>
        </w:rPr>
      </w:pPr>
      <w:r>
        <w:rPr>
          <w:rFonts w:cs="Arial" w:ascii="Arial" w:hAnsi="Arial"/>
          <w:b/>
          <w:sz w:val="20"/>
          <w:szCs w:val="20"/>
        </w:rPr>
        <w:t>Dzīvokļu piedāvājuma dinamika Rīgā</w:t>
      </w:r>
    </w:p>
    <w:p>
      <w:pPr>
        <w:pStyle w:val="Normal"/>
        <w:spacing w:before="0" w:after="0"/>
        <w:ind w:right="425"/>
        <w:jc w:val="both"/>
        <w:rPr>
          <w:rFonts w:ascii="Arial" w:hAnsi="Arial" w:cs="Arial"/>
          <w:b/>
          <w:sz w:val="20"/>
          <w:szCs w:val="20"/>
        </w:rPr>
      </w:pPr>
      <w:r>
        <w:rPr/>
      </w:r>
    </w:p>
    <w:p>
      <w:pPr>
        <w:pStyle w:val="Normal"/>
        <w:ind w:right="425"/>
        <w:jc w:val="both"/>
        <w:rPr>
          <w:rFonts w:ascii="Arial" w:hAnsi="Arial" w:cs="Arial"/>
          <w:b/>
          <w:sz w:val="20"/>
          <w:szCs w:val="20"/>
        </w:rPr>
      </w:pPr>
      <w:r>
        <w:rPr/>
        <w:drawing>
          <wp:inline distT="0" distB="0" distL="0" distR="0">
            <wp:extent cx="6157595" cy="2316480"/>
            <wp:effectExtent l="0" t="0" r="0" b="0"/>
            <wp:docPr id="7"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
                    <pic:cNvPicPr>
                      <a:picLocks noChangeAspect="1" noChangeArrowheads="1"/>
                    </pic:cNvPicPr>
                  </pic:nvPicPr>
                  <pic:blipFill>
                    <a:blip r:embed="rId8"/>
                    <a:stretch>
                      <a:fillRect/>
                    </a:stretch>
                  </pic:blipFill>
                  <pic:spPr bwMode="auto">
                    <a:xfrm>
                      <a:off x="0" y="0"/>
                      <a:ext cx="6157595" cy="2316480"/>
                    </a:xfrm>
                    <a:prstGeom prst="rect">
                      <a:avLst/>
                    </a:prstGeom>
                    <a:noFill/>
                  </pic:spPr>
                </pic:pic>
              </a:graphicData>
            </a:graphic>
          </wp:inline>
        </w:drawing>
      </w:r>
    </w:p>
    <w:p>
      <w:pPr>
        <w:pStyle w:val="Normal"/>
        <w:ind w:right="425"/>
        <w:jc w:val="both"/>
        <w:rPr>
          <w:rFonts w:ascii="Arial" w:hAnsi="Arial" w:cs="Arial"/>
          <w:i/>
          <w:i/>
          <w:sz w:val="10"/>
          <w:szCs w:val="10"/>
        </w:rPr>
      </w:pPr>
      <w:r>
        <w:rPr>
          <w:rFonts w:cs="Arial" w:ascii="Arial" w:hAnsi="Arial"/>
          <w:i/>
          <w:sz w:val="10"/>
          <w:szCs w:val="10"/>
        </w:rPr>
      </w:r>
    </w:p>
    <w:p>
      <w:pPr>
        <w:pStyle w:val="Normal"/>
        <w:ind w:right="425"/>
        <w:jc w:val="both"/>
        <w:rPr>
          <w:color w:val="808080"/>
        </w:rPr>
      </w:pPr>
      <w:r>
        <w:rPr>
          <w:rFonts w:cs="Arial" w:ascii="Arial" w:hAnsi="Arial"/>
          <w:iCs/>
          <w:color w:val="808080"/>
          <w:sz w:val="16"/>
          <w:szCs w:val="16"/>
        </w:rPr>
        <w:t>Avots: ARCO REAL ESTATE</w:t>
      </w:r>
    </w:p>
    <w:p>
      <w:pPr>
        <w:pStyle w:val="Normal"/>
        <w:ind w:right="425"/>
        <w:jc w:val="both"/>
        <w:rPr>
          <w:rFonts w:ascii="Arial" w:hAnsi="Arial" w:cs="Arial"/>
          <w:color w:themeColor="accent1" w:val="156082"/>
          <w:sz w:val="20"/>
          <w:szCs w:val="20"/>
        </w:rPr>
      </w:pPr>
      <w:r>
        <w:rPr>
          <w:rFonts w:cs="Arial" w:ascii="Arial" w:hAnsi="Arial"/>
          <w:color w:themeColor="accent1" w:val="156082"/>
          <w:sz w:val="20"/>
          <w:szCs w:val="20"/>
        </w:rPr>
      </w:r>
    </w:p>
    <w:p>
      <w:pPr>
        <w:pStyle w:val="Normal"/>
        <w:ind w:right="425"/>
        <w:jc w:val="both"/>
        <w:rPr>
          <w:rFonts w:ascii="Arial" w:hAnsi="Arial" w:cs="Arial"/>
          <w:sz w:val="20"/>
          <w:szCs w:val="20"/>
        </w:rPr>
      </w:pPr>
      <w:r>
        <w:rPr>
          <w:rFonts w:cs="Arial" w:ascii="Arial" w:hAnsi="Arial"/>
          <w:sz w:val="20"/>
          <w:szCs w:val="20"/>
        </w:rPr>
        <w:t>Apkopojot dzīvokļu piedāvājumu skaitu Rīgas mikrorajonos, var secināt, ka vislielākais piedāvājumu skaits jūlijā joprojām bija Āgenskalnā, savukārt vismazākais – Bolderājā.</w:t>
      </w:r>
    </w:p>
    <w:p>
      <w:pPr>
        <w:pStyle w:val="Normal"/>
        <w:ind w:right="425"/>
        <w:jc w:val="both"/>
        <w:rPr>
          <w:rFonts w:ascii="Arial" w:hAnsi="Arial" w:cs="Arial"/>
          <w:color w:themeColor="accent1" w:val="156082"/>
          <w:sz w:val="20"/>
          <w:szCs w:val="20"/>
        </w:rPr>
      </w:pPr>
      <w:r>
        <w:rPr>
          <w:rFonts w:cs="Arial" w:ascii="Arial" w:hAnsi="Arial"/>
          <w:color w:themeColor="accent1" w:val="156082"/>
          <w:sz w:val="20"/>
          <w:szCs w:val="20"/>
        </w:rPr>
      </w:r>
    </w:p>
    <w:p>
      <w:pPr>
        <w:pStyle w:val="Normal"/>
        <w:ind w:right="425"/>
        <w:jc w:val="both"/>
        <w:rPr>
          <w:rFonts w:ascii="Arial" w:hAnsi="Arial" w:cs="Arial"/>
          <w:b/>
          <w:sz w:val="20"/>
          <w:szCs w:val="20"/>
        </w:rPr>
      </w:pPr>
      <w:r>
        <w:rPr>
          <w:rFonts w:cs="Arial" w:ascii="Arial" w:hAnsi="Arial"/>
          <w:b/>
          <w:sz w:val="20"/>
          <w:szCs w:val="20"/>
        </w:rPr>
        <w:t>Dzīvokļu piedāvājumu skaits Rīgā 2026. gada jūlija beigās</w:t>
      </w:r>
    </w:p>
    <w:p>
      <w:pPr>
        <w:pStyle w:val="Normal"/>
        <w:ind w:right="425"/>
        <w:jc w:val="both"/>
        <w:rPr>
          <w:rFonts w:ascii="Arial" w:hAnsi="Arial" w:cs="Arial"/>
          <w:b/>
          <w:sz w:val="20"/>
          <w:szCs w:val="20"/>
        </w:rPr>
      </w:pPr>
      <w:r>
        <w:rPr>
          <w:rFonts w:cs="Arial" w:ascii="Arial" w:hAnsi="Arial"/>
          <w:b/>
          <w:sz w:val="20"/>
          <w:szCs w:val="20"/>
        </w:rPr>
      </w:r>
    </w:p>
    <w:p>
      <w:pPr>
        <w:pStyle w:val="Normal"/>
        <w:ind w:right="425"/>
        <w:jc w:val="both"/>
        <w:rPr>
          <w:rFonts w:ascii="Arial" w:hAnsi="Arial" w:cs="Arial"/>
          <w:b/>
          <w:sz w:val="20"/>
          <w:szCs w:val="20"/>
        </w:rPr>
      </w:pPr>
      <w:r>
        <w:rPr/>
        <w:drawing>
          <wp:inline distT="0" distB="0" distL="0" distR="0">
            <wp:extent cx="4542155" cy="3548380"/>
            <wp:effectExtent l="0" t="0" r="0" b="0"/>
            <wp:docPr id="8"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 descr=""/>
                    <pic:cNvPicPr>
                      <a:picLocks noChangeAspect="1" noChangeArrowheads="1"/>
                    </pic:cNvPicPr>
                  </pic:nvPicPr>
                  <pic:blipFill>
                    <a:blip r:embed="rId9"/>
                    <a:stretch>
                      <a:fillRect/>
                    </a:stretch>
                  </pic:blipFill>
                  <pic:spPr bwMode="auto">
                    <a:xfrm>
                      <a:off x="0" y="0"/>
                      <a:ext cx="4542155" cy="3548380"/>
                    </a:xfrm>
                    <a:prstGeom prst="rect">
                      <a:avLst/>
                    </a:prstGeom>
                    <a:noFill/>
                  </pic:spPr>
                </pic:pic>
              </a:graphicData>
            </a:graphic>
          </wp:inline>
        </w:drawing>
      </w:r>
    </w:p>
    <w:p>
      <w:pPr>
        <w:pStyle w:val="Normal"/>
        <w:ind w:right="425"/>
        <w:jc w:val="both"/>
        <w:rPr>
          <w:rFonts w:ascii="Arial" w:hAnsi="Arial" w:cs="Arial"/>
          <w:i/>
          <w:i/>
          <w:sz w:val="16"/>
          <w:szCs w:val="16"/>
        </w:rPr>
      </w:pPr>
      <w:r>
        <w:rPr>
          <w:rFonts w:cs="Arial" w:ascii="Arial" w:hAnsi="Arial"/>
          <w:i/>
          <w:sz w:val="16"/>
          <w:szCs w:val="16"/>
        </w:rPr>
      </w:r>
    </w:p>
    <w:p>
      <w:pPr>
        <w:pStyle w:val="Normal"/>
        <w:ind w:right="425"/>
        <w:jc w:val="both"/>
        <w:rPr>
          <w:color w:val="808080"/>
        </w:rPr>
      </w:pPr>
      <w:r>
        <w:rPr>
          <w:rFonts w:cs="Arial" w:ascii="Arial" w:hAnsi="Arial"/>
          <w:iCs/>
          <w:color w:val="808080"/>
          <w:sz w:val="16"/>
          <w:szCs w:val="16"/>
        </w:rPr>
        <w:t>Avots: ARCO REAL ESTATE</w:t>
      </w:r>
    </w:p>
    <w:p>
      <w:pPr>
        <w:pStyle w:val="Normal"/>
        <w:ind w:right="425"/>
        <w:jc w:val="both"/>
        <w:rPr>
          <w:rFonts w:ascii="Arial" w:hAnsi="Arial" w:cs="Arial"/>
          <w:color w:themeColor="accent1" w:val="156082"/>
          <w:sz w:val="20"/>
          <w:szCs w:val="20"/>
        </w:rPr>
      </w:pPr>
      <w:r>
        <w:rPr>
          <w:rFonts w:cs="Arial" w:ascii="Arial" w:hAnsi="Arial"/>
          <w:color w:themeColor="accent1" w:val="156082"/>
          <w:sz w:val="20"/>
          <w:szCs w:val="20"/>
        </w:rPr>
      </w:r>
    </w:p>
    <w:p>
      <w:pPr>
        <w:pStyle w:val="Normal"/>
        <w:ind w:right="425"/>
        <w:jc w:val="both"/>
        <w:rPr>
          <w:rFonts w:ascii="Arial" w:hAnsi="Arial" w:cs="Arial"/>
          <w:sz w:val="20"/>
          <w:szCs w:val="20"/>
        </w:rPr>
      </w:pPr>
      <w:r>
        <w:rPr>
          <w:rFonts w:cs="Arial" w:ascii="Arial" w:hAnsi="Arial"/>
          <w:sz w:val="20"/>
          <w:szCs w:val="20"/>
        </w:rPr>
        <w:t>Jūlijā Rīgas lielākajos mikrorajonos dzīvokļu piedāvājumu skaits gan palielināj</w:t>
      </w:r>
      <w:r>
        <w:rPr>
          <w:rFonts w:cs="Arial" w:ascii="Arial" w:hAnsi="Arial"/>
          <w:sz w:val="20"/>
          <w:szCs w:val="20"/>
        </w:rPr>
        <w:t>ās</w:t>
      </w:r>
      <w:r>
        <w:rPr>
          <w:rFonts w:cs="Arial" w:ascii="Arial" w:hAnsi="Arial"/>
          <w:sz w:val="20"/>
          <w:szCs w:val="20"/>
        </w:rPr>
        <w:t>, gan samazināj</w:t>
      </w:r>
      <w:r>
        <w:rPr>
          <w:rFonts w:cs="Arial" w:ascii="Arial" w:hAnsi="Arial"/>
          <w:sz w:val="20"/>
          <w:szCs w:val="20"/>
        </w:rPr>
        <w:t>ās</w:t>
      </w:r>
      <w:r>
        <w:rPr>
          <w:rFonts w:cs="Arial" w:ascii="Arial" w:hAnsi="Arial"/>
          <w:sz w:val="20"/>
          <w:szCs w:val="20"/>
        </w:rPr>
        <w:t xml:space="preserve">. Tomēr kopumā piedāvājuma skaits </w:t>
      </w:r>
      <w:r>
        <w:rPr>
          <w:rFonts w:cs="Arial" w:ascii="Arial" w:hAnsi="Arial"/>
          <w:sz w:val="20"/>
          <w:szCs w:val="20"/>
        </w:rPr>
        <w:t>bija</w:t>
      </w:r>
      <w:r>
        <w:rPr>
          <w:rFonts w:cs="Arial" w:ascii="Arial" w:hAnsi="Arial"/>
          <w:sz w:val="20"/>
          <w:szCs w:val="20"/>
        </w:rPr>
        <w:t xml:space="preserve"> augstāks nekā </w:t>
      </w:r>
      <w:r>
        <w:rPr>
          <w:rFonts w:cs="Arial" w:ascii="Arial" w:hAnsi="Arial"/>
          <w:sz w:val="20"/>
          <w:szCs w:val="20"/>
        </w:rPr>
        <w:t>iepriekšējā</w:t>
      </w:r>
      <w:r>
        <w:rPr>
          <w:rFonts w:cs="Arial" w:ascii="Arial" w:hAnsi="Arial"/>
          <w:sz w:val="20"/>
          <w:szCs w:val="20"/>
        </w:rPr>
        <w:t xml:space="preserve"> mēnesī. Visvairāk piedāvājumu skaits jūlijā palielinājās Zolitūdē (+26 %), </w:t>
      </w:r>
      <w:r>
        <w:rPr>
          <w:rFonts w:cs="Arial" w:ascii="Arial" w:hAnsi="Arial"/>
          <w:sz w:val="20"/>
          <w:szCs w:val="20"/>
        </w:rPr>
        <w:t xml:space="preserve">bet </w:t>
      </w:r>
      <w:r>
        <w:rPr>
          <w:rFonts w:cs="Arial" w:ascii="Arial" w:hAnsi="Arial"/>
          <w:sz w:val="20"/>
          <w:szCs w:val="20"/>
        </w:rPr>
        <w:t>visvairāk samazināj</w:t>
      </w:r>
      <w:r>
        <w:rPr>
          <w:rFonts w:cs="Arial" w:ascii="Arial" w:hAnsi="Arial"/>
          <w:sz w:val="20"/>
          <w:szCs w:val="20"/>
        </w:rPr>
        <w:t>ās</w:t>
      </w:r>
      <w:r>
        <w:rPr>
          <w:rFonts w:cs="Arial" w:ascii="Arial" w:hAnsi="Arial"/>
          <w:sz w:val="20"/>
          <w:szCs w:val="20"/>
        </w:rPr>
        <w:t xml:space="preserve"> Ziepniekkalnā (-10 %). </w:t>
      </w:r>
    </w:p>
    <w:p>
      <w:pPr>
        <w:pStyle w:val="Normal"/>
        <w:ind w:right="425"/>
        <w:jc w:val="both"/>
        <w:rPr>
          <w:rFonts w:ascii="Arial" w:hAnsi="Arial" w:cs="Arial"/>
          <w:color w:themeColor="accent1" w:val="156082"/>
          <w:sz w:val="20"/>
          <w:szCs w:val="20"/>
        </w:rPr>
      </w:pPr>
      <w:r>
        <w:rPr>
          <w:rFonts w:cs="Arial" w:ascii="Arial" w:hAnsi="Arial"/>
          <w:color w:themeColor="accent1" w:val="156082"/>
          <w:sz w:val="20"/>
          <w:szCs w:val="20"/>
        </w:rPr>
      </w:r>
    </w:p>
    <w:p>
      <w:pPr>
        <w:pStyle w:val="Normal"/>
        <w:ind w:right="425"/>
        <w:jc w:val="both"/>
        <w:rPr>
          <w:rFonts w:ascii="Arial" w:hAnsi="Arial" w:cs="Arial"/>
          <w:sz w:val="20"/>
          <w:szCs w:val="20"/>
        </w:rPr>
      </w:pPr>
      <w:r>
        <w:rPr>
          <w:rFonts w:cs="Arial" w:ascii="Arial" w:hAnsi="Arial"/>
          <w:sz w:val="20"/>
          <w:szCs w:val="20"/>
        </w:rPr>
        <w:t>Jūlijā, analizējot piedāvājuma skaitu proporcionāli mikrorajona lielumam, proti, pēc iedzīvotāju skaita, vislielākais piedāvājums konstatēts Āgenskalnā. Savukārt Bolderājā piedāvājumu skaits bija proporcionāli vismazākais.</w:t>
      </w:r>
    </w:p>
    <w:p>
      <w:pPr>
        <w:pStyle w:val="Normal"/>
        <w:ind w:right="425"/>
        <w:jc w:val="both"/>
        <w:rPr>
          <w:rFonts w:ascii="Arial" w:hAnsi="Arial" w:cs="Arial"/>
          <w:b/>
          <w:sz w:val="20"/>
          <w:szCs w:val="20"/>
        </w:rPr>
      </w:pPr>
      <w:r>
        <w:rPr>
          <w:rFonts w:cs="Arial" w:ascii="Arial" w:hAnsi="Arial"/>
          <w:b/>
          <w:sz w:val="20"/>
          <w:szCs w:val="20"/>
        </w:rPr>
      </w:r>
    </w:p>
    <w:p>
      <w:pPr>
        <w:pStyle w:val="Normal"/>
        <w:ind w:right="425"/>
        <w:jc w:val="both"/>
        <w:rPr>
          <w:rFonts w:ascii="Arial" w:hAnsi="Arial" w:cs="Arial"/>
          <w:b/>
          <w:sz w:val="20"/>
          <w:szCs w:val="20"/>
        </w:rPr>
      </w:pPr>
      <w:r>
        <w:rPr>
          <w:rFonts w:cs="Arial" w:ascii="Arial" w:hAnsi="Arial"/>
          <w:b/>
          <w:sz w:val="20"/>
          <w:szCs w:val="20"/>
        </w:rPr>
      </w:r>
    </w:p>
    <w:p>
      <w:pPr>
        <w:pStyle w:val="Normal"/>
        <w:ind w:right="425"/>
        <w:jc w:val="both"/>
        <w:rPr>
          <w:rFonts w:ascii="Arial" w:hAnsi="Arial" w:cs="Arial"/>
          <w:b/>
          <w:sz w:val="20"/>
          <w:szCs w:val="20"/>
        </w:rPr>
      </w:pPr>
      <w:r>
        <w:rPr>
          <w:rFonts w:cs="Arial" w:ascii="Arial" w:hAnsi="Arial"/>
          <w:b/>
          <w:sz w:val="20"/>
          <w:szCs w:val="20"/>
        </w:rPr>
      </w:r>
    </w:p>
    <w:p>
      <w:pPr>
        <w:pStyle w:val="Normal"/>
        <w:ind w:right="425"/>
        <w:jc w:val="both"/>
        <w:rPr>
          <w:rFonts w:ascii="Arial" w:hAnsi="Arial" w:cs="Arial"/>
          <w:b/>
          <w:sz w:val="20"/>
          <w:szCs w:val="20"/>
        </w:rPr>
      </w:pPr>
      <w:r>
        <w:rPr>
          <w:rFonts w:cs="Arial" w:ascii="Arial" w:hAnsi="Arial"/>
          <w:b/>
          <w:sz w:val="20"/>
          <w:szCs w:val="20"/>
        </w:rPr>
      </w:r>
    </w:p>
    <w:p>
      <w:pPr>
        <w:pStyle w:val="Normal"/>
        <w:ind w:right="425"/>
        <w:jc w:val="both"/>
        <w:rPr>
          <w:rFonts w:ascii="Arial" w:hAnsi="Arial" w:cs="Arial"/>
          <w:b/>
          <w:sz w:val="20"/>
          <w:szCs w:val="20"/>
        </w:rPr>
      </w:pPr>
      <w:r>
        <w:rPr>
          <w:rFonts w:cs="Arial" w:ascii="Arial" w:hAnsi="Arial"/>
          <w:b/>
          <w:sz w:val="20"/>
          <w:szCs w:val="20"/>
        </w:rPr>
        <w:t xml:space="preserve">Dzīvokļu piedāvājums proporcionāli Rīgas mikrorajonu lielumam 2026. gada jūlijā </w:t>
      </w:r>
    </w:p>
    <w:p>
      <w:pPr>
        <w:pStyle w:val="Normal"/>
        <w:ind w:right="425"/>
        <w:jc w:val="both"/>
        <w:rPr>
          <w:rFonts w:ascii="Arial" w:hAnsi="Arial" w:cs="Arial"/>
          <w:b/>
          <w:sz w:val="20"/>
          <w:szCs w:val="20"/>
        </w:rPr>
      </w:pPr>
      <w:r>
        <w:rPr>
          <w:rFonts w:cs="Arial" w:ascii="Arial" w:hAnsi="Arial"/>
          <w:b/>
          <w:sz w:val="20"/>
          <w:szCs w:val="20"/>
        </w:rPr>
      </w:r>
    </w:p>
    <w:p>
      <w:pPr>
        <w:pStyle w:val="Normal"/>
        <w:ind w:right="425"/>
        <w:jc w:val="both"/>
        <w:rPr>
          <w:rFonts w:ascii="Arial" w:hAnsi="Arial" w:cs="Arial"/>
          <w:sz w:val="20"/>
          <w:szCs w:val="20"/>
        </w:rPr>
      </w:pPr>
      <w:r>
        <w:rPr/>
        <w:drawing>
          <wp:inline distT="0" distB="0" distL="0" distR="0">
            <wp:extent cx="4371340" cy="3359150"/>
            <wp:effectExtent l="0" t="0" r="0" b="0"/>
            <wp:docPr id="9"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descr=""/>
                    <pic:cNvPicPr>
                      <a:picLocks noChangeAspect="1" noChangeArrowheads="1"/>
                    </pic:cNvPicPr>
                  </pic:nvPicPr>
                  <pic:blipFill>
                    <a:blip r:embed="rId10"/>
                    <a:stretch>
                      <a:fillRect/>
                    </a:stretch>
                  </pic:blipFill>
                  <pic:spPr bwMode="auto">
                    <a:xfrm>
                      <a:off x="0" y="0"/>
                      <a:ext cx="4371340" cy="3359150"/>
                    </a:xfrm>
                    <a:prstGeom prst="rect">
                      <a:avLst/>
                    </a:prstGeom>
                    <a:noFill/>
                  </pic:spPr>
                </pic:pic>
              </a:graphicData>
            </a:graphic>
          </wp:inline>
        </w:drawing>
      </w:r>
    </w:p>
    <w:p>
      <w:pPr>
        <w:pStyle w:val="Normal"/>
        <w:ind w:right="425"/>
        <w:jc w:val="both"/>
        <w:rPr>
          <w:rFonts w:ascii="Arial" w:hAnsi="Arial" w:cs="Arial"/>
          <w:i/>
          <w:i/>
          <w:sz w:val="16"/>
          <w:szCs w:val="16"/>
        </w:rPr>
      </w:pPr>
      <w:r>
        <w:rPr>
          <w:rFonts w:cs="Arial" w:ascii="Arial" w:hAnsi="Arial"/>
          <w:i/>
          <w:sz w:val="16"/>
          <w:szCs w:val="16"/>
        </w:rPr>
      </w:r>
    </w:p>
    <w:p>
      <w:pPr>
        <w:pStyle w:val="Normal"/>
        <w:ind w:right="425"/>
        <w:jc w:val="both"/>
        <w:rPr>
          <w:color w:val="808080"/>
        </w:rPr>
      </w:pPr>
      <w:r>
        <w:rPr>
          <w:rFonts w:cs="Arial" w:ascii="Arial" w:hAnsi="Arial"/>
          <w:iCs/>
          <w:color w:val="808080"/>
          <w:sz w:val="16"/>
          <w:szCs w:val="16"/>
        </w:rPr>
        <w:t>Avots: ARCO REAL ESTATE</w:t>
      </w:r>
    </w:p>
    <w:p>
      <w:pPr>
        <w:pStyle w:val="Normal"/>
        <w:ind w:right="425"/>
        <w:jc w:val="both"/>
        <w:rPr>
          <w:rFonts w:ascii="Arial" w:hAnsi="Arial" w:cs="Arial"/>
          <w:color w:themeColor="accent1" w:val="156082"/>
          <w:sz w:val="20"/>
          <w:szCs w:val="20"/>
        </w:rPr>
      </w:pPr>
      <w:r>
        <w:rPr>
          <w:rFonts w:cs="Arial" w:ascii="Arial" w:hAnsi="Arial"/>
          <w:color w:themeColor="accent1" w:val="156082"/>
          <w:sz w:val="20"/>
          <w:szCs w:val="20"/>
        </w:rPr>
      </w:r>
    </w:p>
    <w:p>
      <w:pPr>
        <w:pStyle w:val="Normal"/>
        <w:ind w:right="425"/>
        <w:jc w:val="both"/>
        <w:rPr>
          <w:rFonts w:ascii="Arial" w:hAnsi="Arial" w:cs="Arial"/>
          <w:color w:themeColor="text1" w:val="000000"/>
          <w:sz w:val="20"/>
          <w:szCs w:val="20"/>
        </w:rPr>
      </w:pPr>
      <w:r>
        <w:rPr>
          <w:rFonts w:cs="Arial" w:ascii="Arial" w:hAnsi="Arial"/>
          <w:color w:themeColor="text1" w:val="000000"/>
          <w:sz w:val="20"/>
          <w:szCs w:val="20"/>
        </w:rPr>
        <w:t>Jūlijā Rīgas mikrorajonos sērijveida dzīvokļu cenās varēja novērot izmaiņas. Visos Rīgas lielākajos mikrorajonos, izņemot Mežciemu, varēja novērot dzīvokļu vidējās cenas pieaugumu. Lielākais vidējās cenas pieaugums novērots Ķengaragā, kur cenas mēneša laikā pieauga par 0,9 %. Arī citos Rīgas mikrorajonos cenu pieaugums, salīdzin</w:t>
      </w:r>
      <w:r>
        <w:rPr>
          <w:rFonts w:cs="Arial" w:ascii="Arial" w:hAnsi="Arial"/>
          <w:color w:themeColor="text1" w:val="000000"/>
          <w:sz w:val="20"/>
          <w:szCs w:val="20"/>
        </w:rPr>
        <w:t>ot</w:t>
      </w:r>
      <w:r>
        <w:rPr>
          <w:rFonts w:cs="Arial" w:ascii="Arial" w:hAnsi="Arial"/>
          <w:color w:themeColor="text1" w:val="000000"/>
          <w:sz w:val="20"/>
          <w:szCs w:val="20"/>
        </w:rPr>
        <w:t xml:space="preserve"> ar iepriekšējiem mēnešiem, bija neliels.</w:t>
      </w:r>
    </w:p>
    <w:p>
      <w:pPr>
        <w:pStyle w:val="Normal"/>
        <w:ind w:right="425"/>
        <w:rPr>
          <w:rFonts w:ascii="Arial" w:hAnsi="Arial" w:cs="Arial"/>
          <w:b/>
          <w:color w:themeColor="text1" w:val="000000"/>
          <w:sz w:val="20"/>
          <w:szCs w:val="20"/>
        </w:rPr>
      </w:pPr>
      <w:r>
        <w:rPr>
          <w:rFonts w:cs="Arial" w:ascii="Arial" w:hAnsi="Arial"/>
          <w:b/>
          <w:color w:themeColor="text1" w:val="000000"/>
          <w:sz w:val="20"/>
          <w:szCs w:val="20"/>
        </w:rPr>
      </w:r>
    </w:p>
    <w:p>
      <w:pPr>
        <w:pStyle w:val="Normal"/>
        <w:ind w:right="425"/>
        <w:rPr>
          <w:rFonts w:ascii="Arial" w:hAnsi="Arial" w:cs="Arial"/>
          <w:b/>
          <w:color w:themeColor="text1" w:val="000000"/>
          <w:sz w:val="20"/>
          <w:szCs w:val="20"/>
        </w:rPr>
      </w:pPr>
      <w:r>
        <w:rPr>
          <w:rFonts w:cs="Arial" w:ascii="Arial" w:hAnsi="Arial"/>
          <w:b/>
          <w:color w:themeColor="text1" w:val="000000"/>
          <w:sz w:val="20"/>
          <w:szCs w:val="20"/>
        </w:rPr>
        <w:t>Sērijveida dzīvokļu kvadrātmetra vidējās cenas izmaiņas Rīgas mikrorajonos, %</w:t>
      </w:r>
    </w:p>
    <w:p>
      <w:pPr>
        <w:pStyle w:val="Normal"/>
        <w:ind w:right="425"/>
        <w:rPr>
          <w:rFonts w:ascii="Arial" w:hAnsi="Arial" w:cs="Arial"/>
          <w:b/>
          <w:color w:themeColor="text1" w:val="000000"/>
          <w:sz w:val="20"/>
          <w:szCs w:val="20"/>
        </w:rPr>
      </w:pPr>
      <w:r>
        <w:rPr>
          <w:rFonts w:cs="Arial" w:ascii="Arial" w:hAnsi="Arial"/>
          <w:b/>
          <w:color w:themeColor="text1" w:val="000000"/>
          <w:sz w:val="20"/>
          <w:szCs w:val="20"/>
        </w:rPr>
      </w:r>
    </w:p>
    <w:p>
      <w:pPr>
        <w:pStyle w:val="Normal"/>
        <w:ind w:right="425"/>
        <w:jc w:val="both"/>
        <w:rPr>
          <w:color w:themeColor="text1" w:val="000000"/>
        </w:rPr>
      </w:pPr>
      <w:r>
        <w:rPr/>
        <w:drawing>
          <wp:inline distT="0" distB="0" distL="0" distR="0">
            <wp:extent cx="4819650" cy="2836545"/>
            <wp:effectExtent l="0" t="0" r="0" b="0"/>
            <wp:docPr id="10"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8" descr=""/>
                    <pic:cNvPicPr>
                      <a:picLocks noChangeAspect="1" noChangeArrowheads="1"/>
                    </pic:cNvPicPr>
                  </pic:nvPicPr>
                  <pic:blipFill>
                    <a:blip r:embed="rId11"/>
                    <a:stretch>
                      <a:fillRect/>
                    </a:stretch>
                  </pic:blipFill>
                  <pic:spPr bwMode="auto">
                    <a:xfrm>
                      <a:off x="0" y="0"/>
                      <a:ext cx="4819650" cy="2836545"/>
                    </a:xfrm>
                    <a:prstGeom prst="rect">
                      <a:avLst/>
                    </a:prstGeom>
                    <a:noFill/>
                  </pic:spPr>
                </pic:pic>
              </a:graphicData>
            </a:graphic>
          </wp:inline>
        </w:drawing>
      </w:r>
    </w:p>
    <w:p>
      <w:pPr>
        <w:pStyle w:val="Normal"/>
        <w:ind w:right="425"/>
        <w:jc w:val="both"/>
        <w:rPr>
          <w:rFonts w:ascii="Arial" w:hAnsi="Arial" w:cs="Arial"/>
          <w:i/>
          <w:i/>
          <w:color w:themeColor="text1" w:val="000000"/>
          <w:sz w:val="16"/>
          <w:szCs w:val="16"/>
        </w:rPr>
      </w:pPr>
      <w:r>
        <w:rPr>
          <w:rFonts w:cs="Arial" w:ascii="Arial" w:hAnsi="Arial"/>
          <w:i/>
          <w:color w:themeColor="text1" w:val="000000"/>
          <w:sz w:val="16"/>
          <w:szCs w:val="16"/>
        </w:rPr>
      </w:r>
    </w:p>
    <w:p>
      <w:pPr>
        <w:pStyle w:val="Normal"/>
        <w:ind w:right="425"/>
        <w:jc w:val="both"/>
        <w:rPr>
          <w:color w:val="808080"/>
        </w:rPr>
      </w:pPr>
      <w:r>
        <w:rPr>
          <w:rFonts w:cs="Arial" w:ascii="Arial" w:hAnsi="Arial"/>
          <w:iCs/>
          <w:color w:val="808080"/>
          <w:sz w:val="16"/>
          <w:szCs w:val="16"/>
        </w:rPr>
        <w:t>Avots: ARCO REAL ESTATE</w:t>
      </w:r>
    </w:p>
    <w:p>
      <w:pPr>
        <w:pStyle w:val="Normal"/>
        <w:ind w:right="425"/>
        <w:jc w:val="both"/>
        <w:rPr>
          <w:rFonts w:ascii="Arial" w:hAnsi="Arial" w:cs="Arial"/>
          <w:color w:themeColor="accent1" w:val="156082"/>
          <w:sz w:val="20"/>
          <w:szCs w:val="20"/>
        </w:rPr>
      </w:pPr>
      <w:r>
        <w:rPr>
          <w:rFonts w:cs="Arial" w:ascii="Arial" w:hAnsi="Arial"/>
          <w:color w:themeColor="accent1" w:val="156082"/>
          <w:sz w:val="20"/>
          <w:szCs w:val="20"/>
        </w:rPr>
      </w:r>
    </w:p>
    <w:p>
      <w:pPr>
        <w:pStyle w:val="Normal"/>
        <w:ind w:right="425"/>
        <w:jc w:val="both"/>
        <w:rPr>
          <w:rFonts w:ascii="Arial" w:hAnsi="Arial" w:cs="Arial"/>
          <w:color w:themeColor="text1" w:val="000000"/>
          <w:sz w:val="20"/>
          <w:szCs w:val="20"/>
        </w:rPr>
      </w:pPr>
      <w:r>
        <w:rPr>
          <w:rFonts w:cs="Arial" w:ascii="Arial" w:hAnsi="Arial"/>
          <w:color w:themeColor="text1" w:val="000000"/>
          <w:sz w:val="20"/>
          <w:szCs w:val="20"/>
        </w:rPr>
        <w:t xml:space="preserve">Salīdzinot ar 2026. gada sākumu, jūlijā visos Rīgas lielākajos mikrorajonos sērijveida dzīvokļu cenas </w:t>
      </w:r>
      <w:r>
        <w:rPr>
          <w:rFonts w:cs="Arial" w:ascii="Arial" w:hAnsi="Arial"/>
          <w:color w:themeColor="text1" w:val="000000"/>
          <w:sz w:val="20"/>
          <w:szCs w:val="20"/>
        </w:rPr>
        <w:t>bija</w:t>
      </w:r>
      <w:r>
        <w:rPr>
          <w:rFonts w:cs="Arial" w:ascii="Arial" w:hAnsi="Arial"/>
          <w:color w:themeColor="text1" w:val="000000"/>
          <w:sz w:val="20"/>
          <w:szCs w:val="20"/>
        </w:rPr>
        <w:t xml:space="preserve"> augstākas. </w:t>
      </w:r>
      <w:r>
        <w:rPr>
          <w:rFonts w:cs="Arial" w:ascii="Arial" w:hAnsi="Arial"/>
          <w:color w:themeColor="text1" w:val="000000"/>
          <w:sz w:val="20"/>
          <w:szCs w:val="20"/>
        </w:rPr>
        <w:t>Kvadrātmetra a</w:t>
      </w:r>
      <w:r>
        <w:rPr>
          <w:rFonts w:cs="Arial" w:ascii="Arial" w:hAnsi="Arial"/>
          <w:color w:themeColor="text1" w:val="000000"/>
          <w:sz w:val="20"/>
          <w:szCs w:val="20"/>
        </w:rPr>
        <w:t xml:space="preserve">ugstākā vidējā cena bija Teikā, bet viszemākā </w:t>
      </w:r>
      <w:r>
        <w:rPr>
          <w:rFonts w:cs="Arial" w:ascii="Arial" w:hAnsi="Arial"/>
          <w:color w:themeColor="text1" w:val="000000"/>
          <w:sz w:val="20"/>
          <w:szCs w:val="20"/>
        </w:rPr>
        <w:t xml:space="preserve">cena </w:t>
      </w:r>
      <w:r>
        <w:rPr>
          <w:rFonts w:cs="Arial" w:ascii="Arial" w:hAnsi="Arial"/>
          <w:color w:themeColor="text1" w:val="000000"/>
          <w:sz w:val="20"/>
          <w:szCs w:val="20"/>
        </w:rPr>
        <w:t xml:space="preserve">joprojām </w:t>
      </w:r>
      <w:r>
        <w:rPr>
          <w:rFonts w:cs="Arial" w:ascii="Arial" w:hAnsi="Arial"/>
          <w:color w:themeColor="text1" w:val="000000"/>
          <w:sz w:val="20"/>
          <w:szCs w:val="20"/>
        </w:rPr>
        <w:t xml:space="preserve">novērota </w:t>
      </w:r>
      <w:r>
        <w:rPr>
          <w:rFonts w:cs="Arial" w:ascii="Arial" w:hAnsi="Arial"/>
          <w:color w:themeColor="text1" w:val="000000"/>
          <w:sz w:val="20"/>
          <w:szCs w:val="20"/>
        </w:rPr>
        <w:t>Bolderājā.</w:t>
      </w:r>
    </w:p>
    <w:p>
      <w:pPr>
        <w:pStyle w:val="Normal"/>
        <w:ind w:right="425"/>
        <w:jc w:val="both"/>
        <w:rPr>
          <w:rFonts w:ascii="Arial" w:hAnsi="Arial" w:cs="Arial"/>
          <w:color w:themeColor="accent1" w:val="156082"/>
          <w:sz w:val="20"/>
          <w:szCs w:val="20"/>
        </w:rPr>
      </w:pPr>
      <w:r>
        <w:rPr>
          <w:rFonts w:cs="Arial" w:ascii="Arial" w:hAnsi="Arial"/>
          <w:color w:themeColor="accent1" w:val="156082"/>
          <w:sz w:val="20"/>
          <w:szCs w:val="20"/>
        </w:rPr>
      </w:r>
    </w:p>
    <w:p>
      <w:pPr>
        <w:pStyle w:val="Normal"/>
        <w:ind w:right="425"/>
        <w:jc w:val="both"/>
        <w:rPr>
          <w:rFonts w:ascii="Arial" w:hAnsi="Arial" w:cs="Arial"/>
          <w:color w:themeColor="accent1" w:val="156082"/>
          <w:sz w:val="20"/>
          <w:szCs w:val="20"/>
        </w:rPr>
      </w:pPr>
      <w:r>
        <w:rPr>
          <w:rFonts w:cs="Arial" w:ascii="Arial" w:hAnsi="Arial"/>
          <w:color w:themeColor="accent1" w:val="156082"/>
          <w:sz w:val="20"/>
          <w:szCs w:val="20"/>
        </w:rPr>
      </w:r>
    </w:p>
    <w:p>
      <w:pPr>
        <w:pStyle w:val="Normal"/>
        <w:ind w:right="425"/>
        <w:jc w:val="both"/>
        <w:rPr>
          <w:rFonts w:ascii="Arial" w:hAnsi="Arial" w:cs="Arial"/>
          <w:color w:themeColor="accent1" w:val="156082"/>
          <w:sz w:val="20"/>
          <w:szCs w:val="20"/>
        </w:rPr>
      </w:pPr>
      <w:r>
        <w:rPr>
          <w:rFonts w:cs="Arial" w:ascii="Arial" w:hAnsi="Arial"/>
          <w:color w:themeColor="accent1" w:val="156082"/>
          <w:sz w:val="20"/>
          <w:szCs w:val="20"/>
        </w:rPr>
      </w:r>
    </w:p>
    <w:p>
      <w:pPr>
        <w:pStyle w:val="Normal"/>
        <w:ind w:right="425"/>
        <w:jc w:val="both"/>
        <w:rPr>
          <w:rFonts w:ascii="Arial" w:hAnsi="Arial" w:cs="Arial"/>
          <w:color w:themeColor="accent1" w:val="156082"/>
          <w:sz w:val="20"/>
          <w:szCs w:val="20"/>
        </w:rPr>
      </w:pPr>
      <w:r>
        <w:rPr>
          <w:rFonts w:cs="Arial" w:ascii="Arial" w:hAnsi="Arial"/>
          <w:color w:themeColor="accent1" w:val="156082"/>
          <w:sz w:val="20"/>
          <w:szCs w:val="20"/>
        </w:rPr>
      </w:r>
    </w:p>
    <w:p>
      <w:pPr>
        <w:pStyle w:val="Normal"/>
        <w:ind w:right="425"/>
        <w:jc w:val="both"/>
        <w:rPr>
          <w:rFonts w:ascii="Arial" w:hAnsi="Arial" w:cs="Arial"/>
          <w:b/>
          <w:color w:themeColor="text1" w:val="000000"/>
          <w:sz w:val="20"/>
          <w:szCs w:val="20"/>
        </w:rPr>
      </w:pPr>
      <w:r>
        <w:rPr>
          <w:rFonts w:cs="Arial" w:ascii="Arial" w:hAnsi="Arial"/>
          <w:b/>
          <w:color w:themeColor="text1" w:val="000000"/>
          <w:sz w:val="20"/>
          <w:szCs w:val="20"/>
        </w:rPr>
        <w:t>Sērijveida dzīvokļu vidējās cenas Rīgas mikrorajonos, EUR/m²</w:t>
      </w:r>
    </w:p>
    <w:p>
      <w:pPr>
        <w:pStyle w:val="Normal"/>
        <w:ind w:right="425"/>
        <w:jc w:val="both"/>
        <w:rPr>
          <w:rFonts w:ascii="Arial" w:hAnsi="Arial" w:cs="Arial"/>
          <w:b/>
          <w:color w:themeColor="text1" w:val="000000"/>
          <w:sz w:val="20"/>
          <w:szCs w:val="20"/>
        </w:rPr>
      </w:pPr>
      <w:r>
        <w:rPr>
          <w:rFonts w:cs="Arial" w:ascii="Arial" w:hAnsi="Arial"/>
          <w:b/>
          <w:color w:themeColor="text1" w:val="000000"/>
          <w:sz w:val="20"/>
          <w:szCs w:val="20"/>
        </w:rPr>
      </w:r>
    </w:p>
    <w:p>
      <w:pPr>
        <w:pStyle w:val="Normal"/>
        <w:ind w:firstLine="1080" w:left="-1080" w:right="425"/>
        <w:jc w:val="both"/>
        <w:rPr>
          <w:rFonts w:ascii="Arial" w:hAnsi="Arial" w:cs="Arial"/>
          <w:color w:themeColor="text1" w:val="000000"/>
          <w:sz w:val="20"/>
          <w:szCs w:val="20"/>
        </w:rPr>
      </w:pPr>
      <w:r>
        <w:rPr/>
        <w:drawing>
          <wp:inline distT="0" distB="0" distL="0" distR="0">
            <wp:extent cx="6208395" cy="2409190"/>
            <wp:effectExtent l="0" t="0" r="0" b="0"/>
            <wp:docPr id="11"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7" descr=""/>
                    <pic:cNvPicPr>
                      <a:picLocks noChangeAspect="1" noChangeArrowheads="1"/>
                    </pic:cNvPicPr>
                  </pic:nvPicPr>
                  <pic:blipFill>
                    <a:blip r:embed="rId12"/>
                    <a:stretch>
                      <a:fillRect/>
                    </a:stretch>
                  </pic:blipFill>
                  <pic:spPr bwMode="auto">
                    <a:xfrm>
                      <a:off x="0" y="0"/>
                      <a:ext cx="6208395" cy="2409190"/>
                    </a:xfrm>
                    <a:prstGeom prst="rect">
                      <a:avLst/>
                    </a:prstGeom>
                    <a:noFill/>
                  </pic:spPr>
                </pic:pic>
              </a:graphicData>
            </a:graphic>
          </wp:inline>
        </w:drawing>
      </w:r>
    </w:p>
    <w:p>
      <w:pPr>
        <w:pStyle w:val="Normal"/>
        <w:ind w:right="425"/>
        <w:jc w:val="both"/>
        <w:rPr>
          <w:rFonts w:ascii="Arial" w:hAnsi="Arial" w:cs="Arial"/>
          <w:color w:themeColor="text1" w:val="000000"/>
          <w:sz w:val="10"/>
          <w:szCs w:val="10"/>
        </w:rPr>
      </w:pPr>
      <w:r>
        <w:rPr>
          <w:rFonts w:cs="Arial" w:ascii="Arial" w:hAnsi="Arial"/>
          <w:color w:themeColor="text1" w:val="000000"/>
          <w:sz w:val="10"/>
          <w:szCs w:val="10"/>
        </w:rPr>
      </w:r>
    </w:p>
    <w:p>
      <w:pPr>
        <w:pStyle w:val="Normal"/>
        <w:ind w:right="425"/>
        <w:jc w:val="both"/>
        <w:rPr>
          <w:color w:val="808080"/>
        </w:rPr>
      </w:pPr>
      <w:r>
        <w:rPr>
          <w:rFonts w:cs="Arial" w:ascii="Arial" w:hAnsi="Arial"/>
          <w:iCs/>
          <w:color w:val="808080"/>
          <w:sz w:val="16"/>
          <w:szCs w:val="16"/>
        </w:rPr>
        <w:t>Avots: ARCO REAL ESTATE</w:t>
      </w:r>
    </w:p>
    <w:p>
      <w:pPr>
        <w:pStyle w:val="Normal"/>
        <w:ind w:right="425"/>
        <w:jc w:val="both"/>
        <w:rPr>
          <w:rFonts w:ascii="Arial" w:hAnsi="Arial" w:cs="Arial"/>
          <w:color w:themeColor="accent1" w:val="156082"/>
          <w:sz w:val="20"/>
          <w:szCs w:val="20"/>
        </w:rPr>
      </w:pPr>
      <w:r>
        <w:rPr>
          <w:rFonts w:cs="Arial" w:ascii="Arial" w:hAnsi="Arial"/>
          <w:color w:themeColor="accent1" w:val="156082"/>
          <w:sz w:val="20"/>
          <w:szCs w:val="20"/>
        </w:rPr>
      </w:r>
    </w:p>
    <w:p>
      <w:pPr>
        <w:pStyle w:val="Normal"/>
        <w:ind w:right="425"/>
        <w:jc w:val="both"/>
        <w:rPr>
          <w:rFonts w:ascii="Arial" w:hAnsi="Arial" w:cs="Arial"/>
          <w:color w:themeColor="text1" w:val="000000"/>
          <w:sz w:val="20"/>
          <w:szCs w:val="20"/>
        </w:rPr>
      </w:pPr>
      <w:bookmarkStart w:id="10" w:name="OLE_LINK8"/>
      <w:bookmarkStart w:id="11" w:name="OLE_LINK7"/>
      <w:r>
        <w:rPr>
          <w:rFonts w:cs="Arial" w:ascii="Arial" w:hAnsi="Arial"/>
          <w:color w:themeColor="text1" w:val="000000"/>
          <w:sz w:val="20"/>
          <w:szCs w:val="20"/>
        </w:rPr>
        <w:t>Sērijveida dzīvokļu augstākās cenas jūlijā saglabājās Teikā, kur kvadrātmetra vidējā cena pieaug</w:t>
      </w:r>
      <w:r>
        <w:rPr>
          <w:rFonts w:cs="Arial" w:ascii="Arial" w:hAnsi="Arial"/>
          <w:color w:themeColor="text1" w:val="000000"/>
          <w:sz w:val="20"/>
          <w:szCs w:val="20"/>
        </w:rPr>
        <w:t>a</w:t>
      </w:r>
      <w:r>
        <w:rPr>
          <w:rFonts w:cs="Arial" w:ascii="Arial" w:hAnsi="Arial"/>
          <w:color w:themeColor="text1" w:val="000000"/>
          <w:sz w:val="20"/>
          <w:szCs w:val="20"/>
        </w:rPr>
        <w:t xml:space="preserve"> līdz 1 148 EUR/m². Viena kvadrātmetra zemākā vidējā cena jūlijā bija</w:t>
      </w:r>
      <w:r>
        <w:rPr>
          <w:rFonts w:cs="Arial" w:ascii="Arial" w:hAnsi="Arial"/>
          <w:i/>
          <w:color w:themeColor="text1" w:val="000000"/>
          <w:sz w:val="20"/>
          <w:szCs w:val="20"/>
        </w:rPr>
        <w:t xml:space="preserve"> </w:t>
      </w:r>
      <w:r>
        <w:rPr>
          <w:rFonts w:cs="Arial" w:ascii="Arial" w:hAnsi="Arial"/>
          <w:color w:themeColor="text1" w:val="000000"/>
          <w:sz w:val="20"/>
          <w:szCs w:val="20"/>
        </w:rPr>
        <w:t xml:space="preserve">Bolderājā </w:t>
      </w:r>
      <w:r>
        <w:rPr>
          <w:rFonts w:cs="Arial" w:ascii="Arial" w:hAnsi="Arial"/>
          <w:color w:themeColor="text1" w:val="000000"/>
          <w:sz w:val="20"/>
          <w:szCs w:val="20"/>
        </w:rPr>
        <w:t>(</w:t>
      </w:r>
      <w:r>
        <w:rPr>
          <w:rFonts w:cs="Arial" w:ascii="Arial" w:hAnsi="Arial"/>
          <w:color w:themeColor="text1" w:val="000000"/>
          <w:sz w:val="20"/>
          <w:szCs w:val="20"/>
        </w:rPr>
        <w:t>718 EUR/m²</w:t>
      </w:r>
      <w:r>
        <w:rPr>
          <w:rFonts w:cs="Arial" w:ascii="Arial" w:hAnsi="Arial"/>
          <w:color w:themeColor="text1" w:val="000000"/>
          <w:sz w:val="20"/>
          <w:szCs w:val="20"/>
        </w:rPr>
        <w:t>)</w:t>
      </w:r>
      <w:r>
        <w:rPr>
          <w:rFonts w:cs="Arial" w:ascii="Arial" w:hAnsi="Arial"/>
          <w:color w:themeColor="text1" w:val="000000"/>
          <w:sz w:val="20"/>
          <w:szCs w:val="20"/>
        </w:rPr>
        <w:t>, kas palielināj</w:t>
      </w:r>
      <w:r>
        <w:rPr>
          <w:rFonts w:cs="Arial" w:ascii="Arial" w:hAnsi="Arial"/>
          <w:color w:themeColor="text1" w:val="000000"/>
          <w:sz w:val="20"/>
          <w:szCs w:val="20"/>
        </w:rPr>
        <w:t>ā</w:t>
      </w:r>
      <w:r>
        <w:rPr>
          <w:rFonts w:cs="Arial" w:ascii="Arial" w:hAnsi="Arial"/>
          <w:color w:themeColor="text1" w:val="000000"/>
          <w:sz w:val="20"/>
          <w:szCs w:val="20"/>
        </w:rPr>
        <w:t>s, salīdzin</w:t>
      </w:r>
      <w:r>
        <w:rPr>
          <w:rFonts w:cs="Arial" w:ascii="Arial" w:hAnsi="Arial"/>
          <w:color w:themeColor="text1" w:val="000000"/>
          <w:sz w:val="20"/>
          <w:szCs w:val="20"/>
        </w:rPr>
        <w:t xml:space="preserve">ot </w:t>
      </w:r>
      <w:r>
        <w:rPr>
          <w:rFonts w:cs="Arial" w:ascii="Arial" w:hAnsi="Arial"/>
          <w:color w:themeColor="text1" w:val="000000"/>
          <w:sz w:val="20"/>
          <w:szCs w:val="20"/>
        </w:rPr>
        <w:t>ar iepriekšējo mēnesi.</w:t>
      </w:r>
    </w:p>
    <w:p>
      <w:pPr>
        <w:pStyle w:val="Normal"/>
        <w:ind w:right="425"/>
        <w:jc w:val="both"/>
        <w:rPr>
          <w:rFonts w:ascii="Arial" w:hAnsi="Arial" w:cs="Arial"/>
          <w:b/>
          <w:color w:themeColor="accent1" w:val="156082"/>
          <w:sz w:val="20"/>
          <w:szCs w:val="20"/>
        </w:rPr>
      </w:pPr>
      <w:r>
        <w:rPr>
          <w:rFonts w:cs="Arial" w:ascii="Arial" w:hAnsi="Arial"/>
          <w:b/>
          <w:color w:themeColor="accent1" w:val="156082"/>
          <w:sz w:val="20"/>
          <w:szCs w:val="20"/>
        </w:rPr>
      </w:r>
    </w:p>
    <w:p>
      <w:pPr>
        <w:pStyle w:val="Normal"/>
        <w:ind w:right="425"/>
        <w:jc w:val="both"/>
        <w:rPr>
          <w:rFonts w:ascii="Arial" w:hAnsi="Arial" w:cs="Arial"/>
          <w:b/>
          <w:color w:themeColor="text1" w:val="000000"/>
          <w:sz w:val="20"/>
          <w:szCs w:val="20"/>
        </w:rPr>
      </w:pPr>
      <w:r>
        <w:rPr>
          <w:rFonts w:cs="Arial" w:ascii="Arial" w:hAnsi="Arial"/>
          <w:b/>
          <w:color w:themeColor="text1" w:val="000000"/>
          <w:sz w:val="20"/>
          <w:szCs w:val="20"/>
        </w:rPr>
        <w:t>Sērijveida dzīvokļu vidējās cenas Rīgas mikrorajonos 2026. gada 1. augustā, EUR/m²</w:t>
      </w:r>
    </w:p>
    <w:p>
      <w:pPr>
        <w:pStyle w:val="Normal"/>
        <w:ind w:right="425"/>
        <w:jc w:val="both"/>
        <w:rPr>
          <w:rFonts w:ascii="Arial" w:hAnsi="Arial" w:cs="Arial"/>
          <w:b/>
          <w:color w:themeColor="text1" w:val="000000"/>
          <w:sz w:val="20"/>
          <w:szCs w:val="20"/>
        </w:rPr>
      </w:pPr>
      <w:r>
        <w:rPr>
          <w:rFonts w:cs="Arial" w:ascii="Arial" w:hAnsi="Arial"/>
          <w:b/>
          <w:color w:themeColor="text1" w:val="000000"/>
          <w:sz w:val="20"/>
          <w:szCs w:val="20"/>
        </w:rPr>
      </w:r>
    </w:p>
    <w:p>
      <w:pPr>
        <w:pStyle w:val="Normal"/>
        <w:ind w:right="425"/>
        <w:jc w:val="both"/>
        <w:rPr>
          <w:rFonts w:ascii="Arial" w:hAnsi="Arial" w:cs="Arial"/>
          <w:b/>
          <w:color w:themeColor="text1" w:val="000000"/>
          <w:sz w:val="20"/>
          <w:szCs w:val="20"/>
        </w:rPr>
      </w:pPr>
      <w:r>
        <w:rPr/>
        <w:drawing>
          <wp:inline distT="0" distB="0" distL="0" distR="0">
            <wp:extent cx="6200775" cy="3793490"/>
            <wp:effectExtent l="0" t="0" r="0" b="0"/>
            <wp:docPr id="12"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6" descr=""/>
                    <pic:cNvPicPr>
                      <a:picLocks noChangeAspect="1" noChangeArrowheads="1"/>
                    </pic:cNvPicPr>
                  </pic:nvPicPr>
                  <pic:blipFill>
                    <a:blip r:embed="rId13"/>
                    <a:stretch>
                      <a:fillRect/>
                    </a:stretch>
                  </pic:blipFill>
                  <pic:spPr bwMode="auto">
                    <a:xfrm>
                      <a:off x="0" y="0"/>
                      <a:ext cx="6200775" cy="3793490"/>
                    </a:xfrm>
                    <a:prstGeom prst="rect">
                      <a:avLst/>
                    </a:prstGeom>
                    <a:noFill/>
                  </pic:spPr>
                </pic:pic>
              </a:graphicData>
            </a:graphic>
          </wp:inline>
        </w:drawing>
      </w:r>
    </w:p>
    <w:p>
      <w:pPr>
        <w:pStyle w:val="Normal"/>
        <w:ind w:right="425"/>
        <w:jc w:val="both"/>
        <w:rPr>
          <w:rFonts w:ascii="Arial" w:hAnsi="Arial" w:cs="Arial"/>
          <w:i/>
          <w:i/>
          <w:color w:themeColor="text1" w:val="000000"/>
          <w:sz w:val="16"/>
          <w:szCs w:val="16"/>
        </w:rPr>
      </w:pPr>
      <w:r>
        <w:rPr>
          <w:rFonts w:cs="Arial" w:ascii="Arial" w:hAnsi="Arial"/>
          <w:i/>
          <w:color w:themeColor="text1" w:val="000000"/>
          <w:sz w:val="16"/>
          <w:szCs w:val="16"/>
        </w:rPr>
      </w:r>
    </w:p>
    <w:p>
      <w:pPr>
        <w:pStyle w:val="Normal"/>
        <w:ind w:right="425"/>
        <w:jc w:val="both"/>
        <w:rPr>
          <w:color w:val="808080"/>
        </w:rPr>
      </w:pPr>
      <w:r>
        <w:rPr>
          <w:rFonts w:cs="Arial" w:ascii="Arial" w:hAnsi="Arial"/>
          <w:iCs/>
          <w:color w:val="808080"/>
          <w:sz w:val="16"/>
          <w:szCs w:val="16"/>
        </w:rPr>
        <w:t>Avots: ARCO REAL ESTATE</w:t>
      </w:r>
    </w:p>
    <w:p>
      <w:pPr>
        <w:pStyle w:val="Normal"/>
        <w:ind w:right="425"/>
        <w:jc w:val="both"/>
        <w:rPr>
          <w:rFonts w:ascii="Arial" w:hAnsi="Arial" w:cs="Arial"/>
          <w:iCs/>
          <w:color w:themeColor="accent1" w:val="156082"/>
          <w:sz w:val="20"/>
          <w:szCs w:val="20"/>
        </w:rPr>
      </w:pPr>
      <w:r>
        <w:rPr>
          <w:rFonts w:cs="Arial" w:ascii="Arial" w:hAnsi="Arial"/>
          <w:iCs/>
          <w:color w:themeColor="accent1" w:val="156082"/>
          <w:sz w:val="20"/>
          <w:szCs w:val="20"/>
        </w:rPr>
      </w:r>
    </w:p>
    <w:p>
      <w:pPr>
        <w:pStyle w:val="Normal"/>
        <w:ind w:right="425"/>
        <w:jc w:val="both"/>
        <w:rPr>
          <w:rFonts w:ascii="Arial" w:hAnsi="Arial" w:cs="Arial"/>
          <w:color w:themeColor="text1" w:val="000000"/>
          <w:sz w:val="20"/>
          <w:szCs w:val="20"/>
        </w:rPr>
      </w:pPr>
      <w:r>
        <w:rPr>
          <w:rFonts w:cs="Arial" w:ascii="Arial" w:hAnsi="Arial"/>
          <w:color w:themeColor="text1" w:val="000000"/>
          <w:sz w:val="20"/>
          <w:szCs w:val="20"/>
        </w:rPr>
        <w:t>Jūlijā visdārgākie dzīvokļi saglabājās 119. un 104. sērijas mājās, kurās cenas divistabu dzīvokļiem apmierinošā stāvoklī bija robežās no 57 000 līdz 61 000 eiro atkarībā no atrašanās vietas. Savukārt vislētākās bija lietuviešu projekta mājas, kur divistabu dzīvokļu cenu amplitūda bija no 34 000 līdz 48 000 eiro, un Hruščova laika mājas, kurās cenas divistabu dzīvokļiem bija robežās no 33 000 līdz 49 000 eiro atkarībā no mikrorajona.</w:t>
      </w:r>
    </w:p>
    <w:p>
      <w:pPr>
        <w:pStyle w:val="Normal"/>
        <w:ind w:right="425"/>
        <w:jc w:val="both"/>
        <w:rPr>
          <w:rFonts w:ascii="Arial" w:hAnsi="Arial" w:cs="Arial"/>
          <w:color w:themeColor="accent1" w:val="156082"/>
          <w:sz w:val="20"/>
          <w:szCs w:val="20"/>
        </w:rPr>
      </w:pPr>
      <w:r>
        <w:rPr>
          <w:rFonts w:cs="Arial" w:ascii="Arial" w:hAnsi="Arial"/>
          <w:color w:themeColor="accent1" w:val="156082"/>
          <w:sz w:val="20"/>
          <w:szCs w:val="20"/>
        </w:rPr>
      </w:r>
    </w:p>
    <w:p>
      <w:pPr>
        <w:pStyle w:val="Normal"/>
        <w:ind w:right="425"/>
        <w:jc w:val="both"/>
        <w:rPr>
          <w:rFonts w:ascii="Arial" w:hAnsi="Arial" w:cs="Arial"/>
          <w:b/>
          <w:color w:themeColor="text1" w:val="000000"/>
          <w:sz w:val="20"/>
          <w:szCs w:val="20"/>
        </w:rPr>
      </w:pPr>
      <w:r>
        <w:rPr>
          <w:rFonts w:cs="Arial" w:ascii="Arial" w:hAnsi="Arial"/>
          <w:b/>
          <w:color w:themeColor="text1" w:val="000000"/>
          <w:sz w:val="20"/>
          <w:szCs w:val="20"/>
        </w:rPr>
        <w:t>Rīgas mikrorajonu dzīvokļu cenas 2026. gada jūlijā dalījumā pēc sērijām (divistabu dzīvokļiem), EUR</w:t>
      </w:r>
    </w:p>
    <w:p>
      <w:pPr>
        <w:pStyle w:val="Normal"/>
        <w:ind w:right="425"/>
        <w:jc w:val="both"/>
        <w:rPr>
          <w:rFonts w:ascii="Arial" w:hAnsi="Arial" w:cs="Arial"/>
          <w:b/>
          <w:color w:themeColor="text1" w:val="000000"/>
          <w:sz w:val="20"/>
          <w:szCs w:val="20"/>
        </w:rPr>
      </w:pPr>
      <w:r>
        <w:rPr/>
      </w:r>
    </w:p>
    <w:p>
      <w:pPr>
        <w:pStyle w:val="Normal"/>
        <w:ind w:firstLine="1080" w:left="-1080" w:right="425"/>
        <w:jc w:val="both"/>
        <w:rPr>
          <w:rFonts w:ascii="Arial" w:hAnsi="Arial" w:cs="Arial"/>
          <w:color w:themeColor="text1" w:val="000000"/>
          <w:sz w:val="20"/>
          <w:szCs w:val="20"/>
        </w:rPr>
      </w:pPr>
      <w:r>
        <w:rPr/>
        <w:drawing>
          <wp:inline distT="0" distB="0" distL="0" distR="0">
            <wp:extent cx="6124575" cy="2767330"/>
            <wp:effectExtent l="0" t="0" r="0" b="0"/>
            <wp:docPr id="13"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5" descr=""/>
                    <pic:cNvPicPr>
                      <a:picLocks noChangeAspect="1" noChangeArrowheads="1"/>
                    </pic:cNvPicPr>
                  </pic:nvPicPr>
                  <pic:blipFill>
                    <a:blip r:embed="rId14"/>
                    <a:stretch>
                      <a:fillRect/>
                    </a:stretch>
                  </pic:blipFill>
                  <pic:spPr bwMode="auto">
                    <a:xfrm>
                      <a:off x="0" y="0"/>
                      <a:ext cx="6124575" cy="2767330"/>
                    </a:xfrm>
                    <a:prstGeom prst="rect">
                      <a:avLst/>
                    </a:prstGeom>
                    <a:noFill/>
                  </pic:spPr>
                </pic:pic>
              </a:graphicData>
            </a:graphic>
          </wp:inline>
        </w:drawing>
      </w:r>
    </w:p>
    <w:p>
      <w:pPr>
        <w:pStyle w:val="Normal"/>
        <w:ind w:right="425"/>
        <w:jc w:val="both"/>
        <w:rPr>
          <w:rFonts w:ascii="Arial" w:hAnsi="Arial" w:cs="Arial"/>
          <w:iCs/>
          <w:color w:themeColor="text1" w:val="000000"/>
          <w:sz w:val="16"/>
          <w:szCs w:val="16"/>
        </w:rPr>
      </w:pPr>
      <w:r>
        <w:rPr/>
      </w:r>
    </w:p>
    <w:p>
      <w:pPr>
        <w:pStyle w:val="Normal"/>
        <w:ind w:right="425"/>
        <w:jc w:val="both"/>
        <w:rPr>
          <w:color w:val="808080"/>
        </w:rPr>
      </w:pPr>
      <w:bookmarkStart w:id="12" w:name="OLE_LINK8"/>
      <w:bookmarkStart w:id="13" w:name="OLE_LINK7"/>
      <w:r>
        <w:rPr>
          <w:rFonts w:cs="Arial" w:ascii="Arial" w:hAnsi="Arial"/>
          <w:iCs/>
          <w:color w:val="808080"/>
          <w:sz w:val="16"/>
          <w:szCs w:val="16"/>
        </w:rPr>
        <w:t>Avots: ARCO REAL ESTATE</w:t>
      </w:r>
      <w:bookmarkEnd w:id="12"/>
      <w:bookmarkEnd w:id="13"/>
    </w:p>
    <w:p>
      <w:pPr>
        <w:pStyle w:val="Normal"/>
        <w:ind w:right="425"/>
        <w:jc w:val="center"/>
        <w:rPr>
          <w:rFonts w:ascii="Arial" w:hAnsi="Arial" w:cs="Arial"/>
          <w:b/>
          <w:color w:themeColor="accent1" w:val="156082"/>
        </w:rPr>
      </w:pPr>
      <w:r>
        <w:rPr>
          <w:rFonts w:cs="Arial" w:ascii="Arial" w:hAnsi="Arial"/>
          <w:b/>
          <w:color w:themeColor="accent1" w:val="156082"/>
        </w:rPr>
      </w:r>
    </w:p>
    <w:p>
      <w:pPr>
        <w:pStyle w:val="Normal"/>
        <w:ind w:right="425"/>
        <w:jc w:val="center"/>
        <w:rPr>
          <w:rFonts w:ascii="Arial" w:hAnsi="Arial" w:cs="Arial"/>
          <w:b/>
          <w:color w:themeColor="accent1" w:val="156082"/>
        </w:rPr>
      </w:pPr>
      <w:r>
        <w:rPr>
          <w:rFonts w:cs="Arial" w:ascii="Arial" w:hAnsi="Arial"/>
          <w:b/>
          <w:color w:themeColor="accent1" w:val="156082"/>
        </w:rPr>
      </w:r>
    </w:p>
    <w:p>
      <w:pPr>
        <w:pStyle w:val="Normal"/>
        <w:ind w:right="425"/>
        <w:jc w:val="center"/>
        <w:rPr>
          <w:rFonts w:ascii="Arial" w:hAnsi="Arial" w:cs="Arial"/>
          <w:b/>
          <w:color w:themeColor="accent1" w:val="156082"/>
        </w:rPr>
      </w:pPr>
      <w:r>
        <w:rPr>
          <w:rFonts w:cs="Arial" w:ascii="Arial" w:hAnsi="Arial"/>
          <w:b/>
          <w:color w:themeColor="accent1" w:val="156082"/>
        </w:rPr>
      </w:r>
    </w:p>
    <w:p>
      <w:pPr>
        <w:pStyle w:val="Normal"/>
        <w:ind w:right="425"/>
        <w:jc w:val="center"/>
        <w:rPr>
          <w:rFonts w:ascii="Arial" w:hAnsi="Arial" w:cs="Arial"/>
          <w:b/>
          <w:color w:themeColor="accent1" w:val="156082"/>
        </w:rPr>
      </w:pPr>
      <w:r>
        <w:rPr>
          <w:rFonts w:cs="Arial" w:ascii="Arial" w:hAnsi="Arial"/>
          <w:b/>
          <w:color w:themeColor="accent1" w:val="156082"/>
        </w:rPr>
      </w:r>
    </w:p>
    <w:p>
      <w:pPr>
        <w:pStyle w:val="Normal"/>
        <w:ind w:right="425"/>
        <w:jc w:val="center"/>
        <w:rPr>
          <w:rFonts w:ascii="Arial" w:hAnsi="Arial" w:cs="Arial"/>
          <w:b/>
          <w:color w:themeColor="accent1" w:val="156082"/>
        </w:rPr>
      </w:pPr>
      <w:r>
        <w:rPr>
          <w:rFonts w:cs="Arial" w:ascii="Arial" w:hAnsi="Arial"/>
          <w:b/>
          <w:color w:themeColor="accent1" w:val="156082"/>
        </w:rPr>
      </w:r>
    </w:p>
    <w:p>
      <w:pPr>
        <w:pStyle w:val="Normal"/>
        <w:ind w:right="425"/>
        <w:jc w:val="center"/>
        <w:rPr>
          <w:rFonts w:ascii="Arial" w:hAnsi="Arial" w:cs="Arial"/>
          <w:b/>
          <w:color w:themeColor="accent1" w:val="156082"/>
        </w:rPr>
      </w:pPr>
      <w:r>
        <w:rPr>
          <w:rFonts w:cs="Arial" w:ascii="Arial" w:hAnsi="Arial"/>
          <w:b/>
          <w:color w:themeColor="accent1" w:val="156082"/>
        </w:rPr>
      </w:r>
    </w:p>
    <w:p>
      <w:pPr>
        <w:pStyle w:val="Normal"/>
        <w:ind w:right="425"/>
        <w:jc w:val="center"/>
        <w:rPr>
          <w:rFonts w:ascii="Arial" w:hAnsi="Arial" w:cs="Arial"/>
          <w:b/>
          <w:color w:themeColor="accent1" w:val="156082"/>
        </w:rPr>
      </w:pPr>
      <w:r>
        <w:rPr>
          <w:rFonts w:cs="Arial" w:ascii="Arial" w:hAnsi="Arial"/>
          <w:b/>
          <w:color w:themeColor="accent1" w:val="156082"/>
        </w:rPr>
      </w:r>
    </w:p>
    <w:p>
      <w:pPr>
        <w:pStyle w:val="Normal"/>
        <w:ind w:right="425"/>
        <w:jc w:val="center"/>
        <w:rPr>
          <w:rFonts w:ascii="Arial" w:hAnsi="Arial" w:cs="Arial"/>
          <w:b/>
          <w:color w:themeColor="accent1" w:val="156082"/>
        </w:rPr>
      </w:pPr>
      <w:r>
        <w:rPr>
          <w:rFonts w:cs="Arial" w:ascii="Arial" w:hAnsi="Arial"/>
          <w:b/>
          <w:color w:themeColor="accent1" w:val="156082"/>
        </w:rPr>
      </w:r>
    </w:p>
    <w:p>
      <w:pPr>
        <w:pStyle w:val="Normal"/>
        <w:ind w:right="425"/>
        <w:jc w:val="center"/>
        <w:rPr>
          <w:rFonts w:ascii="Arial" w:hAnsi="Arial" w:cs="Arial"/>
          <w:b/>
          <w:color w:themeColor="accent1" w:val="156082"/>
        </w:rPr>
      </w:pPr>
      <w:r>
        <w:rPr>
          <w:rFonts w:cs="Arial" w:ascii="Arial" w:hAnsi="Arial"/>
          <w:b/>
          <w:color w:themeColor="accent1" w:val="156082"/>
        </w:rPr>
      </w:r>
    </w:p>
    <w:p>
      <w:pPr>
        <w:pStyle w:val="Normal"/>
        <w:ind w:right="425"/>
        <w:jc w:val="center"/>
        <w:rPr>
          <w:rFonts w:ascii="Arial" w:hAnsi="Arial" w:cs="Arial"/>
          <w:b/>
          <w:color w:themeColor="accent1" w:val="156082"/>
        </w:rPr>
      </w:pPr>
      <w:r>
        <w:rPr>
          <w:rFonts w:cs="Arial" w:ascii="Arial" w:hAnsi="Arial"/>
          <w:b/>
          <w:color w:themeColor="accent1" w:val="156082"/>
        </w:rPr>
      </w:r>
    </w:p>
    <w:p>
      <w:pPr>
        <w:pStyle w:val="Normal"/>
        <w:ind w:right="425"/>
        <w:jc w:val="center"/>
        <w:rPr>
          <w:rFonts w:ascii="Arial" w:hAnsi="Arial" w:cs="Arial"/>
          <w:b/>
          <w:color w:themeColor="accent1" w:val="156082"/>
        </w:rPr>
      </w:pPr>
      <w:r>
        <w:rPr>
          <w:rFonts w:cs="Arial" w:ascii="Arial" w:hAnsi="Arial"/>
          <w:b/>
          <w:color w:themeColor="accent1" w:val="156082"/>
        </w:rPr>
      </w:r>
    </w:p>
    <w:p>
      <w:pPr>
        <w:pStyle w:val="Normal"/>
        <w:ind w:right="425"/>
        <w:jc w:val="center"/>
        <w:rPr>
          <w:rFonts w:ascii="Arial" w:hAnsi="Arial" w:cs="Arial"/>
          <w:b/>
          <w:color w:themeColor="accent1" w:val="156082"/>
        </w:rPr>
      </w:pPr>
      <w:r>
        <w:rPr>
          <w:rFonts w:cs="Arial" w:ascii="Arial" w:hAnsi="Arial"/>
          <w:b/>
          <w:color w:themeColor="accent1" w:val="156082"/>
        </w:rPr>
      </w:r>
    </w:p>
    <w:p>
      <w:pPr>
        <w:pStyle w:val="Normal"/>
        <w:ind w:right="425"/>
        <w:jc w:val="center"/>
        <w:rPr>
          <w:rFonts w:ascii="Arial" w:hAnsi="Arial" w:cs="Arial"/>
          <w:b/>
          <w:color w:themeColor="accent1" w:val="156082"/>
        </w:rPr>
      </w:pPr>
      <w:r>
        <w:rPr>
          <w:rFonts w:cs="Arial" w:ascii="Arial" w:hAnsi="Arial"/>
          <w:b/>
          <w:color w:themeColor="accent1" w:val="156082"/>
        </w:rPr>
      </w:r>
    </w:p>
    <w:p>
      <w:pPr>
        <w:pStyle w:val="Normal"/>
        <w:ind w:right="425"/>
        <w:jc w:val="center"/>
        <w:rPr>
          <w:rFonts w:ascii="Arial" w:hAnsi="Arial" w:cs="Arial"/>
          <w:b/>
          <w:color w:themeColor="accent1" w:val="156082"/>
        </w:rPr>
      </w:pPr>
      <w:r>
        <w:rPr>
          <w:rFonts w:cs="Arial" w:ascii="Arial" w:hAnsi="Arial"/>
          <w:b/>
          <w:color w:themeColor="accent1" w:val="156082"/>
        </w:rPr>
      </w:r>
    </w:p>
    <w:p>
      <w:pPr>
        <w:pStyle w:val="Normal"/>
        <w:ind w:right="425"/>
        <w:jc w:val="center"/>
        <w:rPr>
          <w:rFonts w:ascii="Arial" w:hAnsi="Arial" w:cs="Arial"/>
          <w:b/>
          <w:color w:themeColor="accent1" w:val="156082"/>
        </w:rPr>
      </w:pPr>
      <w:r>
        <w:rPr>
          <w:rFonts w:cs="Arial" w:ascii="Arial" w:hAnsi="Arial"/>
          <w:b/>
          <w:color w:themeColor="accent1" w:val="156082"/>
        </w:rPr>
      </w:r>
    </w:p>
    <w:p>
      <w:pPr>
        <w:pStyle w:val="Normal"/>
        <w:ind w:right="425"/>
        <w:jc w:val="center"/>
        <w:rPr>
          <w:rFonts w:ascii="Arial" w:hAnsi="Arial" w:cs="Arial"/>
          <w:b/>
          <w:color w:themeColor="accent1" w:val="156082"/>
        </w:rPr>
      </w:pPr>
      <w:r>
        <w:rPr>
          <w:rFonts w:cs="Arial" w:ascii="Arial" w:hAnsi="Arial"/>
          <w:b/>
          <w:color w:themeColor="accent1" w:val="156082"/>
        </w:rPr>
      </w:r>
    </w:p>
    <w:p>
      <w:pPr>
        <w:pStyle w:val="Normal"/>
        <w:ind w:right="425"/>
        <w:jc w:val="center"/>
        <w:rPr>
          <w:rFonts w:ascii="Arial" w:hAnsi="Arial" w:cs="Arial"/>
          <w:b/>
          <w:color w:themeColor="accent1" w:val="156082"/>
        </w:rPr>
      </w:pPr>
      <w:r>
        <w:rPr>
          <w:rFonts w:cs="Arial" w:ascii="Arial" w:hAnsi="Arial"/>
          <w:b/>
          <w:color w:themeColor="accent1" w:val="156082"/>
        </w:rPr>
      </w:r>
    </w:p>
    <w:p>
      <w:pPr>
        <w:pStyle w:val="Normal"/>
        <w:ind w:right="425"/>
        <w:jc w:val="center"/>
        <w:rPr>
          <w:rFonts w:ascii="Arial" w:hAnsi="Arial" w:cs="Arial"/>
          <w:b/>
          <w:color w:themeColor="accent1" w:val="156082"/>
        </w:rPr>
      </w:pPr>
      <w:r>
        <w:rPr>
          <w:rFonts w:cs="Arial" w:ascii="Arial" w:hAnsi="Arial"/>
          <w:b/>
          <w:color w:themeColor="accent1" w:val="156082"/>
        </w:rPr>
      </w:r>
    </w:p>
    <w:p>
      <w:pPr>
        <w:pStyle w:val="Normal"/>
        <w:ind w:right="425"/>
        <w:jc w:val="center"/>
        <w:rPr>
          <w:rFonts w:ascii="Arial" w:hAnsi="Arial" w:cs="Arial"/>
          <w:b/>
          <w:color w:themeColor="accent1" w:val="156082"/>
        </w:rPr>
      </w:pPr>
      <w:r>
        <w:rPr>
          <w:rFonts w:cs="Arial" w:ascii="Arial" w:hAnsi="Arial"/>
          <w:b/>
          <w:color w:themeColor="accent1" w:val="156082"/>
        </w:rPr>
      </w:r>
    </w:p>
    <w:p>
      <w:pPr>
        <w:pStyle w:val="Normal"/>
        <w:ind w:right="425"/>
        <w:jc w:val="center"/>
        <w:rPr>
          <w:rFonts w:ascii="Arial" w:hAnsi="Arial" w:cs="Arial"/>
          <w:b/>
          <w:color w:themeColor="accent1" w:val="156082"/>
        </w:rPr>
      </w:pPr>
      <w:r>
        <w:rPr>
          <w:rFonts w:cs="Arial" w:ascii="Arial" w:hAnsi="Arial"/>
          <w:b/>
          <w:color w:themeColor="accent1" w:val="156082"/>
        </w:rPr>
      </w:r>
    </w:p>
    <w:p>
      <w:pPr>
        <w:pStyle w:val="Normal"/>
        <w:ind w:right="425"/>
        <w:jc w:val="center"/>
        <w:rPr>
          <w:rFonts w:ascii="Arial" w:hAnsi="Arial" w:cs="Arial"/>
          <w:b/>
          <w:color w:themeColor="accent1" w:val="156082"/>
        </w:rPr>
      </w:pPr>
      <w:r>
        <w:rPr>
          <w:rFonts w:cs="Arial" w:ascii="Arial" w:hAnsi="Arial"/>
          <w:b/>
          <w:color w:themeColor="accent1" w:val="156082"/>
        </w:rPr>
      </w:r>
    </w:p>
    <w:p>
      <w:pPr>
        <w:pStyle w:val="Normal"/>
        <w:ind w:right="425"/>
        <w:jc w:val="center"/>
        <w:rPr>
          <w:rFonts w:ascii="Arial" w:hAnsi="Arial" w:cs="Arial"/>
          <w:b/>
          <w:color w:themeColor="accent1" w:val="156082"/>
        </w:rPr>
      </w:pPr>
      <w:r>
        <w:rPr>
          <w:rFonts w:cs="Arial" w:ascii="Arial" w:hAnsi="Arial"/>
          <w:b/>
          <w:color w:themeColor="accent1" w:val="156082"/>
        </w:rPr>
      </w:r>
    </w:p>
    <w:p>
      <w:pPr>
        <w:pStyle w:val="Normal"/>
        <w:ind w:right="425"/>
        <w:jc w:val="center"/>
        <w:rPr>
          <w:rFonts w:ascii="Arial" w:hAnsi="Arial" w:cs="Arial"/>
          <w:b/>
          <w:color w:themeColor="accent1" w:val="156082"/>
        </w:rPr>
      </w:pPr>
      <w:r>
        <w:rPr>
          <w:rFonts w:cs="Arial" w:ascii="Arial" w:hAnsi="Arial"/>
          <w:b/>
          <w:color w:themeColor="accent1" w:val="156082"/>
        </w:rPr>
      </w:r>
      <w:r>
        <w:br w:type="page"/>
      </w:r>
    </w:p>
    <w:p>
      <w:pPr>
        <w:pStyle w:val="Normal"/>
        <w:spacing w:before="0" w:after="0"/>
        <w:ind w:right="425"/>
        <w:jc w:val="center"/>
        <w:rPr>
          <w:rFonts w:ascii="Arial" w:hAnsi="Arial" w:cs="Arial"/>
          <w:b/>
          <w:color w:themeColor="accent1" w:val="156082"/>
        </w:rPr>
      </w:pPr>
      <w:r>
        <w:rPr>
          <w:rFonts w:cs="Arial" w:ascii="Arial" w:hAnsi="Arial"/>
          <w:b/>
          <w:color w:themeColor="accent1" w:val="156082"/>
        </w:rPr>
      </w:r>
    </w:p>
    <w:p>
      <w:pPr>
        <w:pStyle w:val="Normal"/>
        <w:ind w:right="425"/>
        <w:jc w:val="center"/>
        <w:rPr>
          <w:rFonts w:ascii="Arial" w:hAnsi="Arial" w:cs="Arial"/>
          <w:b/>
          <w:color w:themeColor="text1" w:val="000000"/>
        </w:rPr>
      </w:pPr>
      <w:r>
        <w:rPr>
          <w:rFonts w:cs="Arial" w:ascii="Arial" w:hAnsi="Arial"/>
          <w:b/>
          <w:color w:themeColor="text1" w:val="000000"/>
        </w:rPr>
        <w:t>Dzīvokļu tirgus Rīgas apkārtnē</w:t>
      </w:r>
    </w:p>
    <w:p>
      <w:pPr>
        <w:pStyle w:val="Normal"/>
        <w:ind w:right="425"/>
        <w:jc w:val="both"/>
        <w:rPr>
          <w:rFonts w:ascii="Arial" w:hAnsi="Arial" w:cs="Arial"/>
          <w:b/>
          <w:color w:themeColor="accent1" w:val="156082"/>
          <w:sz w:val="20"/>
          <w:szCs w:val="20"/>
        </w:rPr>
      </w:pPr>
      <w:r>
        <w:rPr>
          <w:rFonts w:cs="Arial" w:ascii="Arial" w:hAnsi="Arial"/>
          <w:b/>
          <w:color w:themeColor="accent1" w:val="156082"/>
          <w:sz w:val="20"/>
          <w:szCs w:val="20"/>
        </w:rPr>
      </w:r>
    </w:p>
    <w:p>
      <w:pPr>
        <w:pStyle w:val="Normal"/>
        <w:ind w:right="425"/>
        <w:jc w:val="both"/>
        <w:rPr>
          <w:rFonts w:ascii="Arial" w:hAnsi="Arial" w:cs="Arial"/>
          <w:b/>
          <w:color w:themeColor="accent1" w:val="156082"/>
          <w:sz w:val="20"/>
          <w:szCs w:val="20"/>
        </w:rPr>
      </w:pPr>
      <w:r>
        <w:rPr>
          <w:rFonts w:cs="Arial" w:ascii="Arial" w:hAnsi="Arial"/>
          <w:b/>
          <w:color w:themeColor="accent1" w:val="156082"/>
          <w:sz w:val="20"/>
          <w:szCs w:val="20"/>
        </w:rPr>
      </w:r>
    </w:p>
    <w:p>
      <w:pPr>
        <w:pStyle w:val="Normal"/>
        <w:ind w:right="425"/>
        <w:jc w:val="both"/>
        <w:rPr>
          <w:rFonts w:ascii="Arial" w:hAnsi="Arial" w:cs="Arial"/>
          <w:b/>
          <w:color w:themeColor="text1" w:val="000000"/>
          <w:sz w:val="20"/>
          <w:szCs w:val="20"/>
        </w:rPr>
      </w:pPr>
      <w:r>
        <w:rPr>
          <w:rFonts w:cs="Arial" w:ascii="Arial" w:hAnsi="Arial"/>
          <w:b/>
          <w:color w:themeColor="text1" w:val="000000"/>
          <w:sz w:val="20"/>
          <w:szCs w:val="20"/>
        </w:rPr>
        <w:t>Ogre</w:t>
      </w:r>
    </w:p>
    <w:p>
      <w:pPr>
        <w:pStyle w:val="Normal"/>
        <w:ind w:right="425"/>
        <w:jc w:val="both"/>
        <w:rPr>
          <w:rFonts w:ascii="Arial" w:hAnsi="Arial" w:cs="Arial"/>
          <w:color w:themeColor="text1" w:val="000000"/>
          <w:sz w:val="20"/>
          <w:szCs w:val="20"/>
        </w:rPr>
      </w:pPr>
      <w:r>
        <w:rPr>
          <w:rFonts w:cs="Arial" w:ascii="Arial" w:hAnsi="Arial"/>
          <w:color w:themeColor="text1" w:val="000000"/>
          <w:sz w:val="20"/>
          <w:szCs w:val="20"/>
        </w:rPr>
      </w:r>
    </w:p>
    <w:p>
      <w:pPr>
        <w:pStyle w:val="Normal"/>
        <w:ind w:right="425"/>
        <w:jc w:val="both"/>
        <w:rPr>
          <w:rFonts w:ascii="Arial" w:hAnsi="Arial" w:cs="Arial"/>
          <w:color w:themeColor="text1" w:val="000000"/>
          <w:sz w:val="20"/>
          <w:szCs w:val="20"/>
        </w:rPr>
      </w:pPr>
      <w:r>
        <w:rPr>
          <w:rFonts w:cs="Arial" w:ascii="Arial" w:hAnsi="Arial"/>
          <w:color w:themeColor="text1" w:val="000000"/>
          <w:sz w:val="20"/>
          <w:szCs w:val="20"/>
        </w:rPr>
        <w:t xml:space="preserve">2026. gada jūlijā sērijveida dzīvokļu cenas </w:t>
      </w:r>
      <w:r>
        <w:rPr>
          <w:rFonts w:cs="Arial" w:ascii="Arial" w:hAnsi="Arial"/>
          <w:color w:themeColor="text1" w:val="000000"/>
          <w:sz w:val="20"/>
          <w:szCs w:val="20"/>
        </w:rPr>
        <w:t>ne</w:t>
      </w:r>
      <w:r>
        <w:rPr>
          <w:rFonts w:cs="Arial" w:ascii="Arial" w:hAnsi="Arial"/>
          <w:color w:themeColor="text1" w:val="000000"/>
          <w:sz w:val="20"/>
          <w:szCs w:val="20"/>
        </w:rPr>
        <w:t xml:space="preserve">mainījās. Dzīvokļu viena kvadrātmetra vidējā cena saglabājās 972 EUR/m² </w:t>
      </w:r>
      <w:r>
        <w:rPr>
          <w:rFonts w:cs="Arial" w:ascii="Arial" w:hAnsi="Arial"/>
          <w:color w:themeColor="text1" w:val="000000"/>
          <w:sz w:val="20"/>
          <w:szCs w:val="20"/>
        </w:rPr>
        <w:t>pozīcijā</w:t>
      </w:r>
      <w:r>
        <w:rPr>
          <w:rFonts w:cs="Arial" w:ascii="Arial" w:hAnsi="Arial"/>
          <w:color w:themeColor="text1" w:val="000000"/>
          <w:sz w:val="20"/>
          <w:szCs w:val="20"/>
        </w:rPr>
        <w:t xml:space="preserve">. Dzīvokļu cenas Ogrē jūlijā </w:t>
      </w:r>
      <w:r>
        <w:rPr>
          <w:rFonts w:cs="Arial" w:ascii="Arial" w:hAnsi="Arial"/>
          <w:color w:themeColor="text1" w:val="000000"/>
          <w:sz w:val="20"/>
          <w:szCs w:val="20"/>
        </w:rPr>
        <w:t xml:space="preserve">bija </w:t>
      </w:r>
      <w:r>
        <w:rPr>
          <w:rFonts w:cs="Arial" w:ascii="Arial" w:hAnsi="Arial"/>
          <w:color w:themeColor="text1" w:val="000000"/>
          <w:sz w:val="20"/>
          <w:szCs w:val="20"/>
        </w:rPr>
        <w:t>par 10 % augstākas nekā 2026. gada sākumā.</w:t>
      </w:r>
    </w:p>
    <w:p>
      <w:pPr>
        <w:pStyle w:val="Normal"/>
        <w:ind w:right="425"/>
        <w:rPr>
          <w:rFonts w:ascii="Arial" w:hAnsi="Arial" w:cs="Arial"/>
          <w:b/>
          <w:bCs/>
          <w:color w:themeColor="text1" w:val="000000"/>
          <w:sz w:val="20"/>
          <w:szCs w:val="20"/>
        </w:rPr>
      </w:pPr>
      <w:r>
        <w:rPr>
          <w:rFonts w:cs="Arial" w:ascii="Arial" w:hAnsi="Arial"/>
          <w:b/>
          <w:bCs/>
          <w:color w:themeColor="text1" w:val="000000"/>
          <w:sz w:val="20"/>
          <w:szCs w:val="20"/>
        </w:rPr>
      </w:r>
    </w:p>
    <w:p>
      <w:pPr>
        <w:pStyle w:val="Normal"/>
        <w:ind w:right="425"/>
        <w:rPr>
          <w:rFonts w:ascii="Arial" w:hAnsi="Arial" w:cs="Arial"/>
          <w:b/>
          <w:bCs/>
          <w:color w:themeColor="text1" w:val="000000"/>
          <w:sz w:val="20"/>
          <w:szCs w:val="20"/>
        </w:rPr>
      </w:pPr>
      <w:r>
        <w:rPr>
          <w:rFonts w:cs="Arial" w:ascii="Arial" w:hAnsi="Arial"/>
          <w:b/>
          <w:bCs/>
          <w:color w:themeColor="text1" w:val="000000"/>
          <w:sz w:val="20"/>
          <w:szCs w:val="20"/>
        </w:rPr>
        <w:t>Sērijveida dzīvokļu vidējās cenas dinamika Ogrē, EUR/m²</w:t>
      </w:r>
    </w:p>
    <w:p>
      <w:pPr>
        <w:pStyle w:val="Normal"/>
        <w:ind w:right="425"/>
        <w:rPr>
          <w:rFonts w:ascii="Arial" w:hAnsi="Arial" w:cs="Arial"/>
          <w:b/>
          <w:bCs/>
          <w:color w:themeColor="text1" w:val="000000"/>
          <w:sz w:val="20"/>
          <w:szCs w:val="20"/>
          <w:vertAlign w:val="superscript"/>
        </w:rPr>
      </w:pPr>
      <w:r>
        <w:rPr>
          <w:rFonts w:cs="Arial" w:ascii="Arial" w:hAnsi="Arial"/>
          <w:b/>
          <w:bCs/>
          <w:color w:themeColor="text1" w:val="000000"/>
          <w:sz w:val="20"/>
          <w:szCs w:val="20"/>
          <w:vertAlign w:val="superscript"/>
        </w:rPr>
      </w:r>
    </w:p>
    <w:p>
      <w:pPr>
        <w:pStyle w:val="Normal"/>
        <w:ind w:right="425"/>
        <w:rPr>
          <w:rFonts w:ascii="Arial" w:hAnsi="Arial" w:cs="Arial"/>
          <w:color w:themeColor="text1" w:val="000000"/>
          <w:sz w:val="20"/>
          <w:szCs w:val="20"/>
        </w:rPr>
      </w:pPr>
      <w:r>
        <w:rPr/>
        <w:drawing>
          <wp:inline distT="0" distB="0" distL="0" distR="0">
            <wp:extent cx="6257290" cy="1543685"/>
            <wp:effectExtent l="0" t="0" r="0" b="0"/>
            <wp:docPr id="14"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 descr=""/>
                    <pic:cNvPicPr>
                      <a:picLocks noChangeAspect="1" noChangeArrowheads="1"/>
                    </pic:cNvPicPr>
                  </pic:nvPicPr>
                  <pic:blipFill>
                    <a:blip r:embed="rId15"/>
                    <a:stretch>
                      <a:fillRect/>
                    </a:stretch>
                  </pic:blipFill>
                  <pic:spPr bwMode="auto">
                    <a:xfrm>
                      <a:off x="0" y="0"/>
                      <a:ext cx="6257290" cy="1543685"/>
                    </a:xfrm>
                    <a:prstGeom prst="rect">
                      <a:avLst/>
                    </a:prstGeom>
                    <a:noFill/>
                  </pic:spPr>
                </pic:pic>
              </a:graphicData>
            </a:graphic>
          </wp:inline>
        </w:drawing>
      </w:r>
    </w:p>
    <w:p>
      <w:pPr>
        <w:pStyle w:val="Normal"/>
        <w:ind w:right="425"/>
        <w:jc w:val="both"/>
        <w:rPr>
          <w:rFonts w:ascii="Arial" w:hAnsi="Arial" w:cs="Arial"/>
          <w:iCs/>
          <w:color w:themeColor="text1" w:val="000000"/>
          <w:sz w:val="16"/>
          <w:szCs w:val="16"/>
        </w:rPr>
      </w:pPr>
      <w:r>
        <w:rPr>
          <w:rFonts w:cs="Arial" w:ascii="Arial" w:hAnsi="Arial"/>
          <w:iCs/>
          <w:color w:themeColor="text1" w:val="000000"/>
          <w:sz w:val="16"/>
          <w:szCs w:val="16"/>
        </w:rPr>
      </w:r>
    </w:p>
    <w:p>
      <w:pPr>
        <w:pStyle w:val="Normal"/>
        <w:ind w:right="425"/>
        <w:jc w:val="both"/>
        <w:rPr>
          <w:color w:val="808080"/>
        </w:rPr>
      </w:pPr>
      <w:r>
        <w:rPr>
          <w:rFonts w:cs="Arial" w:ascii="Arial" w:hAnsi="Arial"/>
          <w:iCs/>
          <w:color w:val="808080"/>
          <w:sz w:val="16"/>
          <w:szCs w:val="16"/>
        </w:rPr>
        <w:t>Avots: ARCO REAL ESTATE</w:t>
      </w:r>
    </w:p>
    <w:p>
      <w:pPr>
        <w:pStyle w:val="Normal"/>
        <w:ind w:right="425"/>
        <w:rPr>
          <w:rFonts w:ascii="Arial" w:hAnsi="Arial" w:cs="Arial"/>
          <w:b/>
          <w:color w:themeColor="text1" w:val="000000"/>
          <w:sz w:val="20"/>
          <w:szCs w:val="20"/>
        </w:rPr>
      </w:pPr>
      <w:r>
        <w:rPr>
          <w:rFonts w:cs="Arial" w:ascii="Arial" w:hAnsi="Arial"/>
          <w:b/>
          <w:color w:themeColor="text1" w:val="000000"/>
          <w:sz w:val="20"/>
          <w:szCs w:val="20"/>
        </w:rPr>
      </w:r>
    </w:p>
    <w:p>
      <w:pPr>
        <w:pStyle w:val="Normal"/>
        <w:ind w:right="425"/>
        <w:rPr>
          <w:rFonts w:ascii="Arial" w:hAnsi="Arial" w:cs="Arial"/>
          <w:b/>
          <w:color w:themeColor="text1" w:val="000000"/>
          <w:sz w:val="20"/>
          <w:szCs w:val="20"/>
        </w:rPr>
      </w:pPr>
      <w:r>
        <w:rPr>
          <w:rFonts w:cs="Arial" w:ascii="Arial" w:hAnsi="Arial"/>
          <w:b/>
          <w:color w:themeColor="text1" w:val="000000"/>
          <w:sz w:val="20"/>
          <w:szCs w:val="20"/>
        </w:rPr>
        <w:t>Kauguri, Jūrmala</w:t>
      </w:r>
    </w:p>
    <w:p>
      <w:pPr>
        <w:pStyle w:val="Normal"/>
        <w:ind w:right="425"/>
        <w:jc w:val="both"/>
        <w:rPr>
          <w:rFonts w:ascii="Arial" w:hAnsi="Arial" w:cs="Arial"/>
          <w:color w:themeColor="text1" w:val="000000"/>
          <w:sz w:val="20"/>
          <w:szCs w:val="20"/>
        </w:rPr>
      </w:pPr>
      <w:r>
        <w:rPr>
          <w:rFonts w:cs="Arial" w:ascii="Arial" w:hAnsi="Arial"/>
          <w:color w:themeColor="text1" w:val="000000"/>
          <w:sz w:val="20"/>
          <w:szCs w:val="20"/>
        </w:rPr>
        <w:t xml:space="preserve"> </w:t>
      </w:r>
    </w:p>
    <w:p>
      <w:pPr>
        <w:pStyle w:val="Normal"/>
        <w:ind w:right="425"/>
        <w:jc w:val="both"/>
        <w:rPr>
          <w:rFonts w:ascii="Arial" w:hAnsi="Arial" w:cs="Arial"/>
          <w:color w:themeColor="text1" w:val="000000"/>
          <w:sz w:val="20"/>
          <w:szCs w:val="20"/>
        </w:rPr>
      </w:pPr>
      <w:r>
        <w:rPr>
          <w:rFonts w:cs="Arial" w:ascii="Arial" w:hAnsi="Arial"/>
          <w:color w:themeColor="text1" w:val="000000"/>
          <w:sz w:val="20"/>
          <w:szCs w:val="20"/>
        </w:rPr>
        <w:t xml:space="preserve">Kauguros 2026. gada jūlijā sērijveida dzīvokļu cenas </w:t>
      </w:r>
      <w:r>
        <w:rPr>
          <w:rFonts w:cs="Arial" w:ascii="Arial" w:hAnsi="Arial"/>
          <w:color w:themeColor="text1" w:val="000000"/>
          <w:sz w:val="20"/>
          <w:szCs w:val="20"/>
        </w:rPr>
        <w:t>ne</w:t>
      </w:r>
      <w:r>
        <w:rPr>
          <w:rFonts w:cs="Arial" w:ascii="Arial" w:hAnsi="Arial"/>
          <w:color w:themeColor="text1" w:val="000000"/>
          <w:sz w:val="20"/>
          <w:szCs w:val="20"/>
        </w:rPr>
        <w:t>mainīj</w:t>
      </w:r>
      <w:r>
        <w:rPr>
          <w:rFonts w:cs="Arial" w:ascii="Arial" w:hAnsi="Arial"/>
          <w:color w:themeColor="text1" w:val="000000"/>
          <w:sz w:val="20"/>
          <w:szCs w:val="20"/>
        </w:rPr>
        <w:t>ā</w:t>
      </w:r>
      <w:r>
        <w:rPr>
          <w:rFonts w:cs="Arial" w:ascii="Arial" w:hAnsi="Arial"/>
          <w:color w:themeColor="text1" w:val="000000"/>
          <w:sz w:val="20"/>
          <w:szCs w:val="20"/>
        </w:rPr>
        <w:t xml:space="preserve">s. Sērijveida dzīvokļu vidējā cena jūlijā – 883 EUR/m². Kopš 2026. gada sākuma dzīvokļu cenas Kauguros </w:t>
      </w:r>
      <w:r>
        <w:rPr>
          <w:rFonts w:cs="Arial" w:ascii="Arial" w:hAnsi="Arial"/>
          <w:color w:themeColor="text1" w:val="000000"/>
          <w:sz w:val="20"/>
          <w:szCs w:val="20"/>
        </w:rPr>
        <w:t xml:space="preserve">jūlijā bija </w:t>
      </w:r>
      <w:r>
        <w:rPr>
          <w:rFonts w:cs="Arial" w:ascii="Arial" w:hAnsi="Arial"/>
          <w:color w:themeColor="text1" w:val="000000"/>
          <w:sz w:val="20"/>
          <w:szCs w:val="20"/>
        </w:rPr>
        <w:t xml:space="preserve">augstākas par 7 %. </w:t>
      </w:r>
    </w:p>
    <w:p>
      <w:pPr>
        <w:pStyle w:val="Normal"/>
        <w:ind w:right="425"/>
        <w:jc w:val="both"/>
        <w:rPr>
          <w:rFonts w:ascii="Arial" w:hAnsi="Arial" w:cs="Arial"/>
          <w:color w:themeColor="accent1" w:val="156082"/>
          <w:sz w:val="20"/>
          <w:szCs w:val="20"/>
        </w:rPr>
      </w:pPr>
      <w:r>
        <w:rPr>
          <w:rFonts w:cs="Arial" w:ascii="Arial" w:hAnsi="Arial"/>
          <w:color w:themeColor="accent1" w:val="156082"/>
          <w:sz w:val="20"/>
          <w:szCs w:val="20"/>
        </w:rPr>
      </w:r>
    </w:p>
    <w:p>
      <w:pPr>
        <w:pStyle w:val="Normal"/>
        <w:ind w:right="425"/>
        <w:jc w:val="both"/>
        <w:rPr>
          <w:rFonts w:ascii="Arial" w:hAnsi="Arial" w:cs="Arial"/>
          <w:b/>
          <w:color w:themeColor="text1" w:val="000000"/>
          <w:sz w:val="20"/>
          <w:szCs w:val="20"/>
          <w:vertAlign w:val="superscript"/>
        </w:rPr>
      </w:pPr>
      <w:r>
        <w:rPr>
          <w:rFonts w:cs="Arial" w:ascii="Arial" w:hAnsi="Arial"/>
          <w:b/>
          <w:color w:themeColor="text1" w:val="000000"/>
          <w:sz w:val="20"/>
          <w:szCs w:val="20"/>
        </w:rPr>
        <w:t>Sērijveida dzīvokļu vidējās cenas dinamika Jūrmalā, Kauguros, EUR/m²</w:t>
      </w:r>
    </w:p>
    <w:p>
      <w:pPr>
        <w:pStyle w:val="Normal"/>
        <w:ind w:right="425"/>
        <w:jc w:val="both"/>
        <w:rPr>
          <w:rFonts w:ascii="Arial" w:hAnsi="Arial" w:cs="Arial"/>
          <w:b/>
          <w:color w:themeColor="text1" w:val="000000"/>
          <w:sz w:val="20"/>
          <w:szCs w:val="20"/>
          <w:vertAlign w:val="superscript"/>
        </w:rPr>
      </w:pPr>
      <w:r>
        <w:rPr>
          <w:rFonts w:cs="Arial" w:ascii="Arial" w:hAnsi="Arial"/>
          <w:b/>
          <w:color w:themeColor="text1" w:val="000000"/>
          <w:sz w:val="20"/>
          <w:szCs w:val="20"/>
          <w:vertAlign w:val="superscript"/>
        </w:rPr>
      </w:r>
    </w:p>
    <w:p>
      <w:pPr>
        <w:pStyle w:val="Normal"/>
        <w:ind w:right="425"/>
        <w:jc w:val="both"/>
        <w:rPr>
          <w:rFonts w:ascii="Arial" w:hAnsi="Arial" w:cs="Arial"/>
          <w:color w:themeColor="text1" w:val="000000"/>
          <w:sz w:val="20"/>
          <w:szCs w:val="20"/>
        </w:rPr>
      </w:pPr>
      <w:r>
        <w:rPr/>
        <w:drawing>
          <wp:inline distT="0" distB="0" distL="0" distR="0">
            <wp:extent cx="6276975" cy="1586865"/>
            <wp:effectExtent l="0" t="0" r="0" b="0"/>
            <wp:docPr id="15"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4" descr=""/>
                    <pic:cNvPicPr>
                      <a:picLocks noChangeAspect="1" noChangeArrowheads="1"/>
                    </pic:cNvPicPr>
                  </pic:nvPicPr>
                  <pic:blipFill>
                    <a:blip r:embed="rId16"/>
                    <a:stretch>
                      <a:fillRect/>
                    </a:stretch>
                  </pic:blipFill>
                  <pic:spPr bwMode="auto">
                    <a:xfrm>
                      <a:off x="0" y="0"/>
                      <a:ext cx="6276975" cy="1586865"/>
                    </a:xfrm>
                    <a:prstGeom prst="rect">
                      <a:avLst/>
                    </a:prstGeom>
                    <a:noFill/>
                  </pic:spPr>
                </pic:pic>
              </a:graphicData>
            </a:graphic>
          </wp:inline>
        </w:drawing>
      </w:r>
    </w:p>
    <w:p>
      <w:pPr>
        <w:pStyle w:val="Normal"/>
        <w:ind w:right="425"/>
        <w:jc w:val="both"/>
        <w:rPr>
          <w:rFonts w:ascii="Arial" w:hAnsi="Arial" w:cs="Arial"/>
          <w:i/>
          <w:i/>
          <w:color w:themeColor="text1" w:val="000000"/>
          <w:sz w:val="16"/>
          <w:szCs w:val="16"/>
        </w:rPr>
      </w:pPr>
      <w:r>
        <w:rPr>
          <w:rFonts w:cs="Arial" w:ascii="Arial" w:hAnsi="Arial"/>
          <w:i/>
          <w:color w:themeColor="text1" w:val="000000"/>
          <w:sz w:val="16"/>
          <w:szCs w:val="16"/>
        </w:rPr>
      </w:r>
    </w:p>
    <w:p>
      <w:pPr>
        <w:pStyle w:val="Normal"/>
        <w:ind w:right="425"/>
        <w:jc w:val="both"/>
        <w:rPr>
          <w:color w:val="808080"/>
        </w:rPr>
      </w:pPr>
      <w:r>
        <w:rPr>
          <w:rFonts w:cs="Arial" w:ascii="Arial" w:hAnsi="Arial"/>
          <w:iCs/>
          <w:color w:val="808080"/>
          <w:sz w:val="16"/>
          <w:szCs w:val="16"/>
        </w:rPr>
        <w:t>Avots: ARCO REAL ESTATE</w:t>
      </w:r>
    </w:p>
    <w:p>
      <w:pPr>
        <w:pStyle w:val="Normal"/>
        <w:ind w:right="425"/>
        <w:jc w:val="both"/>
        <w:rPr>
          <w:rFonts w:ascii="Arial" w:hAnsi="Arial" w:cs="Arial"/>
          <w:color w:themeColor="accent1" w:val="156082"/>
          <w:sz w:val="20"/>
          <w:szCs w:val="20"/>
        </w:rPr>
      </w:pPr>
      <w:r>
        <w:rPr>
          <w:rFonts w:cs="Arial" w:ascii="Arial" w:hAnsi="Arial"/>
          <w:color w:themeColor="accent1" w:val="156082"/>
          <w:sz w:val="20"/>
          <w:szCs w:val="20"/>
        </w:rPr>
      </w:r>
    </w:p>
    <w:p>
      <w:pPr>
        <w:pStyle w:val="Normal"/>
        <w:ind w:right="425"/>
        <w:jc w:val="both"/>
        <w:rPr>
          <w:rFonts w:ascii="Arial" w:hAnsi="Arial" w:cs="Arial"/>
          <w:b/>
          <w:color w:themeColor="text1" w:val="000000"/>
          <w:sz w:val="20"/>
          <w:szCs w:val="20"/>
        </w:rPr>
      </w:pPr>
      <w:r>
        <w:rPr>
          <w:rFonts w:cs="Arial" w:ascii="Arial" w:hAnsi="Arial"/>
          <w:b/>
          <w:color w:themeColor="text1" w:val="000000"/>
          <w:sz w:val="20"/>
          <w:szCs w:val="20"/>
        </w:rPr>
        <w:t>Salaspils</w:t>
      </w:r>
    </w:p>
    <w:p>
      <w:pPr>
        <w:pStyle w:val="Normal"/>
        <w:ind w:right="425"/>
        <w:jc w:val="both"/>
        <w:rPr>
          <w:rFonts w:ascii="Arial" w:hAnsi="Arial" w:cs="Arial"/>
          <w:color w:themeColor="text1" w:val="000000"/>
          <w:sz w:val="20"/>
          <w:szCs w:val="20"/>
        </w:rPr>
      </w:pPr>
      <w:r>
        <w:rPr>
          <w:rFonts w:cs="Arial" w:ascii="Arial" w:hAnsi="Arial"/>
          <w:color w:themeColor="text1" w:val="000000"/>
          <w:sz w:val="20"/>
          <w:szCs w:val="20"/>
        </w:rPr>
      </w:r>
    </w:p>
    <w:p>
      <w:pPr>
        <w:pStyle w:val="Normal"/>
        <w:ind w:right="425"/>
        <w:jc w:val="both"/>
        <w:rPr>
          <w:rFonts w:ascii="Arial" w:hAnsi="Arial" w:cs="Arial"/>
          <w:color w:themeColor="text1" w:val="000000"/>
          <w:sz w:val="20"/>
          <w:szCs w:val="20"/>
        </w:rPr>
      </w:pPr>
      <w:bookmarkStart w:id="14" w:name="OLE_LINK2"/>
      <w:bookmarkStart w:id="15" w:name="OLE_LINK1"/>
      <w:r>
        <w:rPr>
          <w:rFonts w:cs="Arial" w:ascii="Arial" w:hAnsi="Arial"/>
          <w:color w:themeColor="text1" w:val="000000"/>
          <w:sz w:val="20"/>
          <w:szCs w:val="20"/>
        </w:rPr>
        <w:t>2026. gada jūlijā sērijveida dzīvokļu cenas Salaspilī palielinājās par 0,6 %. Dzīvokļu viena kvadrātmetra vidējā cena pieauga līdz 907 EUR/m².</w:t>
      </w:r>
      <w:bookmarkEnd w:id="14"/>
      <w:bookmarkEnd w:id="15"/>
      <w:r>
        <w:rPr>
          <w:rFonts w:cs="Arial" w:ascii="Arial" w:hAnsi="Arial"/>
          <w:color w:themeColor="text1" w:val="000000"/>
          <w:sz w:val="20"/>
          <w:szCs w:val="20"/>
        </w:rPr>
        <w:t xml:space="preserve"> Jūlijā sērijveida dzīvokļu cenas Salaspilī bija par 7 % augstākas nekā šā gada sākumā.</w:t>
      </w:r>
    </w:p>
    <w:p>
      <w:pPr>
        <w:pStyle w:val="Normal"/>
        <w:ind w:right="425"/>
        <w:jc w:val="both"/>
        <w:rPr>
          <w:rFonts w:ascii="Arial" w:hAnsi="Arial" w:cs="Arial"/>
          <w:b/>
          <w:color w:themeColor="accent1" w:val="156082"/>
          <w:sz w:val="20"/>
          <w:szCs w:val="20"/>
        </w:rPr>
      </w:pPr>
      <w:r>
        <w:rPr>
          <w:rFonts w:cs="Arial" w:ascii="Arial" w:hAnsi="Arial"/>
          <w:b/>
          <w:color w:themeColor="accent1" w:val="156082"/>
          <w:sz w:val="20"/>
          <w:szCs w:val="20"/>
        </w:rPr>
      </w:r>
    </w:p>
    <w:p>
      <w:pPr>
        <w:pStyle w:val="Normal"/>
        <w:ind w:right="425"/>
        <w:jc w:val="both"/>
        <w:rPr>
          <w:rFonts w:ascii="Arial" w:hAnsi="Arial" w:cs="Arial"/>
          <w:b/>
          <w:color w:themeColor="accent1" w:val="156082"/>
          <w:sz w:val="20"/>
          <w:szCs w:val="20"/>
        </w:rPr>
      </w:pPr>
      <w:r>
        <w:rPr>
          <w:rFonts w:cs="Arial" w:ascii="Arial" w:hAnsi="Arial"/>
          <w:b/>
          <w:color w:themeColor="accent1" w:val="156082"/>
          <w:sz w:val="20"/>
          <w:szCs w:val="20"/>
        </w:rPr>
      </w:r>
    </w:p>
    <w:p>
      <w:pPr>
        <w:pStyle w:val="Normal"/>
        <w:ind w:right="425"/>
        <w:jc w:val="both"/>
        <w:rPr>
          <w:rFonts w:ascii="Arial" w:hAnsi="Arial" w:cs="Arial"/>
          <w:b/>
          <w:color w:themeColor="accent1" w:val="156082"/>
          <w:sz w:val="20"/>
          <w:szCs w:val="20"/>
        </w:rPr>
      </w:pPr>
      <w:r>
        <w:rPr>
          <w:rFonts w:cs="Arial" w:ascii="Arial" w:hAnsi="Arial"/>
          <w:b/>
          <w:color w:themeColor="accent1" w:val="156082"/>
          <w:sz w:val="20"/>
          <w:szCs w:val="20"/>
        </w:rPr>
      </w:r>
    </w:p>
    <w:p>
      <w:pPr>
        <w:pStyle w:val="Normal"/>
        <w:ind w:right="425"/>
        <w:jc w:val="both"/>
        <w:rPr>
          <w:rFonts w:ascii="Arial" w:hAnsi="Arial" w:cs="Arial"/>
          <w:b/>
          <w:color w:themeColor="accent1" w:val="156082"/>
          <w:sz w:val="20"/>
          <w:szCs w:val="20"/>
        </w:rPr>
      </w:pPr>
      <w:r>
        <w:rPr>
          <w:rFonts w:cs="Arial" w:ascii="Arial" w:hAnsi="Arial"/>
          <w:b/>
          <w:color w:themeColor="accent1" w:val="156082"/>
          <w:sz w:val="20"/>
          <w:szCs w:val="20"/>
        </w:rPr>
      </w:r>
    </w:p>
    <w:p>
      <w:pPr>
        <w:pStyle w:val="Normal"/>
        <w:ind w:right="425"/>
        <w:jc w:val="both"/>
        <w:rPr>
          <w:rFonts w:ascii="Arial" w:hAnsi="Arial" w:cs="Arial"/>
          <w:b/>
          <w:color w:themeColor="accent1" w:val="156082"/>
          <w:sz w:val="20"/>
          <w:szCs w:val="20"/>
        </w:rPr>
      </w:pPr>
      <w:r>
        <w:rPr>
          <w:rFonts w:cs="Arial" w:ascii="Arial" w:hAnsi="Arial"/>
          <w:b/>
          <w:color w:themeColor="accent1" w:val="156082"/>
          <w:sz w:val="20"/>
          <w:szCs w:val="20"/>
        </w:rPr>
      </w:r>
    </w:p>
    <w:p>
      <w:pPr>
        <w:pStyle w:val="Normal"/>
        <w:ind w:right="425"/>
        <w:jc w:val="both"/>
        <w:rPr>
          <w:rFonts w:ascii="Arial" w:hAnsi="Arial" w:cs="Arial"/>
          <w:b/>
          <w:color w:themeColor="accent1" w:val="156082"/>
          <w:sz w:val="20"/>
          <w:szCs w:val="20"/>
        </w:rPr>
      </w:pPr>
      <w:r>
        <w:rPr>
          <w:rFonts w:cs="Arial" w:ascii="Arial" w:hAnsi="Arial"/>
          <w:b/>
          <w:color w:themeColor="accent1" w:val="156082"/>
          <w:sz w:val="20"/>
          <w:szCs w:val="20"/>
        </w:rPr>
      </w:r>
    </w:p>
    <w:p>
      <w:pPr>
        <w:pStyle w:val="Normal"/>
        <w:ind w:right="425"/>
        <w:jc w:val="both"/>
        <w:rPr>
          <w:rFonts w:ascii="Arial" w:hAnsi="Arial" w:cs="Arial"/>
          <w:b/>
          <w:color w:themeColor="accent1" w:val="156082"/>
          <w:sz w:val="20"/>
          <w:szCs w:val="20"/>
        </w:rPr>
      </w:pPr>
      <w:r>
        <w:rPr>
          <w:rFonts w:cs="Arial" w:ascii="Arial" w:hAnsi="Arial"/>
          <w:b/>
          <w:color w:themeColor="accent1" w:val="156082"/>
          <w:sz w:val="20"/>
          <w:szCs w:val="20"/>
        </w:rPr>
      </w:r>
    </w:p>
    <w:p>
      <w:pPr>
        <w:pStyle w:val="Normal"/>
        <w:ind w:right="425"/>
        <w:jc w:val="both"/>
        <w:rPr>
          <w:rFonts w:ascii="Arial" w:hAnsi="Arial" w:cs="Arial"/>
          <w:b/>
          <w:color w:themeColor="accent1" w:val="156082"/>
          <w:sz w:val="20"/>
          <w:szCs w:val="20"/>
        </w:rPr>
      </w:pPr>
      <w:r>
        <w:rPr>
          <w:rFonts w:cs="Arial" w:ascii="Arial" w:hAnsi="Arial"/>
          <w:b/>
          <w:color w:themeColor="accent1" w:val="156082"/>
          <w:sz w:val="20"/>
          <w:szCs w:val="20"/>
        </w:rPr>
      </w:r>
    </w:p>
    <w:p>
      <w:pPr>
        <w:pStyle w:val="Normal"/>
        <w:ind w:right="425"/>
        <w:jc w:val="both"/>
        <w:rPr>
          <w:rFonts w:ascii="Arial" w:hAnsi="Arial" w:cs="Arial"/>
          <w:b/>
          <w:color w:themeColor="accent1" w:val="156082"/>
          <w:sz w:val="20"/>
          <w:szCs w:val="20"/>
        </w:rPr>
      </w:pPr>
      <w:r>
        <w:rPr>
          <w:rFonts w:cs="Arial" w:ascii="Arial" w:hAnsi="Arial"/>
          <w:b/>
          <w:color w:themeColor="accent1" w:val="156082"/>
          <w:sz w:val="20"/>
          <w:szCs w:val="20"/>
        </w:rPr>
      </w:r>
    </w:p>
    <w:p>
      <w:pPr>
        <w:pStyle w:val="Normal"/>
        <w:ind w:right="425"/>
        <w:jc w:val="both"/>
        <w:rPr>
          <w:rFonts w:ascii="Arial" w:hAnsi="Arial" w:cs="Arial"/>
          <w:b/>
          <w:color w:themeColor="accent1" w:val="156082"/>
          <w:sz w:val="20"/>
          <w:szCs w:val="20"/>
        </w:rPr>
      </w:pPr>
      <w:r>
        <w:rPr>
          <w:rFonts w:cs="Arial" w:ascii="Arial" w:hAnsi="Arial"/>
          <w:b/>
          <w:color w:themeColor="accent1" w:val="156082"/>
          <w:sz w:val="20"/>
          <w:szCs w:val="20"/>
        </w:rPr>
      </w:r>
    </w:p>
    <w:p>
      <w:pPr>
        <w:pStyle w:val="Normal"/>
        <w:ind w:right="425"/>
        <w:jc w:val="both"/>
        <w:rPr>
          <w:rFonts w:ascii="Arial" w:hAnsi="Arial" w:cs="Arial"/>
          <w:b/>
          <w:color w:themeColor="accent1" w:val="156082"/>
          <w:sz w:val="20"/>
          <w:szCs w:val="20"/>
        </w:rPr>
      </w:pPr>
      <w:r>
        <w:rPr>
          <w:rFonts w:cs="Arial" w:ascii="Arial" w:hAnsi="Arial"/>
          <w:b/>
          <w:color w:themeColor="accent1" w:val="156082"/>
          <w:sz w:val="20"/>
          <w:szCs w:val="20"/>
        </w:rPr>
      </w:r>
    </w:p>
    <w:p>
      <w:pPr>
        <w:pStyle w:val="Normal"/>
        <w:ind w:right="425"/>
        <w:jc w:val="both"/>
        <w:rPr>
          <w:rFonts w:ascii="Arial" w:hAnsi="Arial" w:cs="Arial"/>
          <w:b/>
          <w:color w:themeColor="text1" w:val="000000"/>
          <w:sz w:val="20"/>
          <w:szCs w:val="20"/>
          <w:vertAlign w:val="superscript"/>
        </w:rPr>
      </w:pPr>
      <w:r>
        <w:rPr>
          <w:rFonts w:cs="Arial" w:ascii="Arial" w:hAnsi="Arial"/>
          <w:b/>
          <w:color w:themeColor="text1" w:val="000000"/>
          <w:sz w:val="20"/>
          <w:szCs w:val="20"/>
        </w:rPr>
        <w:t>Salaspils sērijveida dzīvokļu vidējās cenas dinamika, EUR/m²</w:t>
      </w:r>
    </w:p>
    <w:p>
      <w:pPr>
        <w:pStyle w:val="Normal"/>
        <w:ind w:right="425"/>
        <w:jc w:val="both"/>
        <w:rPr>
          <w:rFonts w:ascii="Arial" w:hAnsi="Arial" w:cs="Arial"/>
          <w:b/>
          <w:color w:themeColor="text1" w:val="000000"/>
          <w:sz w:val="20"/>
          <w:szCs w:val="20"/>
          <w:vertAlign w:val="superscript"/>
        </w:rPr>
      </w:pPr>
      <w:r>
        <w:rPr/>
      </w:r>
    </w:p>
    <w:p>
      <w:pPr>
        <w:pStyle w:val="Normal"/>
        <w:ind w:right="425"/>
        <w:jc w:val="both"/>
        <w:rPr>
          <w:rFonts w:ascii="Arial" w:hAnsi="Arial" w:cs="Arial"/>
          <w:color w:themeColor="text1" w:val="000000"/>
          <w:sz w:val="20"/>
          <w:szCs w:val="20"/>
        </w:rPr>
      </w:pPr>
      <w:r>
        <w:rPr/>
        <w:drawing>
          <wp:inline distT="0" distB="0" distL="0" distR="0">
            <wp:extent cx="6278880" cy="1626235"/>
            <wp:effectExtent l="0" t="0" r="0" b="0"/>
            <wp:docPr id="16"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 descr=""/>
                    <pic:cNvPicPr>
                      <a:picLocks noChangeAspect="1" noChangeArrowheads="1"/>
                    </pic:cNvPicPr>
                  </pic:nvPicPr>
                  <pic:blipFill>
                    <a:blip r:embed="rId17"/>
                    <a:stretch>
                      <a:fillRect/>
                    </a:stretch>
                  </pic:blipFill>
                  <pic:spPr bwMode="auto">
                    <a:xfrm>
                      <a:off x="0" y="0"/>
                      <a:ext cx="6278880" cy="1626235"/>
                    </a:xfrm>
                    <a:prstGeom prst="rect">
                      <a:avLst/>
                    </a:prstGeom>
                    <a:noFill/>
                  </pic:spPr>
                </pic:pic>
              </a:graphicData>
            </a:graphic>
          </wp:inline>
        </w:drawing>
      </w:r>
    </w:p>
    <w:p>
      <w:pPr>
        <w:pStyle w:val="Normal"/>
        <w:ind w:right="425"/>
        <w:jc w:val="both"/>
        <w:rPr>
          <w:rFonts w:ascii="Arial" w:hAnsi="Arial" w:cs="Arial"/>
          <w:i/>
          <w:i/>
          <w:color w:themeColor="text1" w:val="000000"/>
          <w:sz w:val="16"/>
          <w:szCs w:val="16"/>
        </w:rPr>
      </w:pPr>
      <w:r>
        <w:rPr>
          <w:rFonts w:cs="Arial" w:ascii="Arial" w:hAnsi="Arial"/>
          <w:i/>
          <w:color w:themeColor="text1" w:val="000000"/>
          <w:sz w:val="16"/>
          <w:szCs w:val="16"/>
        </w:rPr>
      </w:r>
    </w:p>
    <w:p>
      <w:pPr>
        <w:pStyle w:val="Normal"/>
        <w:ind w:right="425"/>
        <w:jc w:val="both"/>
        <w:rPr>
          <w:color w:val="808080"/>
        </w:rPr>
      </w:pPr>
      <w:r>
        <w:rPr>
          <w:rFonts w:cs="Arial" w:ascii="Arial" w:hAnsi="Arial"/>
          <w:iCs/>
          <w:color w:val="808080"/>
          <w:sz w:val="16"/>
          <w:szCs w:val="16"/>
        </w:rPr>
        <w:t>Avots: ARCO REAL ESTATE</w:t>
      </w:r>
    </w:p>
    <w:p>
      <w:pPr>
        <w:pStyle w:val="Normal"/>
        <w:ind w:right="425"/>
        <w:jc w:val="both"/>
        <w:rPr>
          <w:rFonts w:ascii="Arial" w:hAnsi="Arial" w:cs="Arial"/>
          <w:color w:themeColor="accent1" w:val="156082"/>
          <w:sz w:val="20"/>
          <w:szCs w:val="20"/>
        </w:rPr>
      </w:pPr>
      <w:r>
        <w:rPr>
          <w:rFonts w:cs="Arial" w:ascii="Arial" w:hAnsi="Arial"/>
          <w:color w:themeColor="accent1" w:val="156082"/>
          <w:sz w:val="20"/>
          <w:szCs w:val="20"/>
        </w:rPr>
      </w:r>
    </w:p>
    <w:p>
      <w:pPr>
        <w:pStyle w:val="Normal"/>
        <w:ind w:right="425"/>
        <w:jc w:val="both"/>
        <w:rPr>
          <w:rFonts w:ascii="Arial" w:hAnsi="Arial" w:cs="Arial"/>
          <w:b/>
          <w:color w:themeColor="text1" w:val="000000"/>
          <w:sz w:val="20"/>
          <w:szCs w:val="20"/>
        </w:rPr>
      </w:pPr>
      <w:r>
        <w:rPr>
          <w:rFonts w:cs="Arial" w:ascii="Arial" w:hAnsi="Arial"/>
          <w:b/>
          <w:color w:themeColor="text1" w:val="000000"/>
          <w:sz w:val="20"/>
          <w:szCs w:val="20"/>
        </w:rPr>
        <w:t>Jelgava</w:t>
      </w:r>
    </w:p>
    <w:p>
      <w:pPr>
        <w:pStyle w:val="Normal"/>
        <w:ind w:right="425"/>
        <w:jc w:val="both"/>
        <w:rPr>
          <w:rFonts w:ascii="Arial" w:hAnsi="Arial" w:cs="Arial"/>
          <w:color w:themeColor="text1" w:val="000000"/>
          <w:sz w:val="20"/>
          <w:szCs w:val="20"/>
        </w:rPr>
      </w:pPr>
      <w:r>
        <w:rPr>
          <w:rFonts w:cs="Arial" w:ascii="Arial" w:hAnsi="Arial"/>
          <w:color w:themeColor="text1" w:val="000000"/>
          <w:sz w:val="20"/>
          <w:szCs w:val="20"/>
        </w:rPr>
      </w:r>
    </w:p>
    <w:p>
      <w:pPr>
        <w:pStyle w:val="Normal"/>
        <w:ind w:right="425"/>
        <w:jc w:val="both"/>
        <w:rPr>
          <w:rFonts w:ascii="Arial" w:hAnsi="Arial" w:cs="Arial"/>
          <w:color w:themeColor="text1" w:val="000000"/>
          <w:sz w:val="20"/>
          <w:szCs w:val="20"/>
        </w:rPr>
      </w:pPr>
      <w:r>
        <w:rPr>
          <w:rFonts w:cs="Arial" w:ascii="Arial" w:hAnsi="Arial"/>
          <w:color w:themeColor="text1" w:val="000000"/>
          <w:sz w:val="20"/>
          <w:szCs w:val="20"/>
        </w:rPr>
        <w:t xml:space="preserve">Jelgavā dzīvokļu cenas 2026. gada jūlijā saglabājās praktiski bez izmaiņām. Sērijveida dzīvokļu vidējā cena jūlijā Jelgavā – 800 EUR/m². Jelgavā sērijveida dzīvokļu cenas </w:t>
      </w:r>
      <w:r>
        <w:rPr>
          <w:rFonts w:cs="Arial" w:ascii="Arial" w:hAnsi="Arial"/>
          <w:color w:themeColor="text1" w:val="000000"/>
          <w:sz w:val="20"/>
          <w:szCs w:val="20"/>
        </w:rPr>
        <w:t>jūlijā</w:t>
      </w:r>
      <w:r>
        <w:rPr>
          <w:rFonts w:cs="Arial" w:ascii="Arial" w:hAnsi="Arial"/>
          <w:color w:themeColor="text1" w:val="000000"/>
          <w:sz w:val="20"/>
          <w:szCs w:val="20"/>
        </w:rPr>
        <w:t xml:space="preserve"> </w:t>
      </w:r>
      <w:r>
        <w:rPr>
          <w:rFonts w:cs="Arial" w:ascii="Arial" w:hAnsi="Arial"/>
          <w:color w:themeColor="text1" w:val="000000"/>
          <w:sz w:val="20"/>
          <w:szCs w:val="20"/>
        </w:rPr>
        <w:t xml:space="preserve">bija </w:t>
      </w:r>
      <w:r>
        <w:rPr>
          <w:rFonts w:cs="Arial" w:ascii="Arial" w:hAnsi="Arial"/>
          <w:color w:themeColor="text1" w:val="000000"/>
          <w:sz w:val="20"/>
          <w:szCs w:val="20"/>
        </w:rPr>
        <w:t>par 4 % augstākas nekā 2026. gada sākumā.</w:t>
      </w:r>
    </w:p>
    <w:p>
      <w:pPr>
        <w:pStyle w:val="Normal"/>
        <w:ind w:right="425"/>
        <w:jc w:val="both"/>
        <w:rPr>
          <w:rFonts w:ascii="Arial" w:hAnsi="Arial" w:cs="Arial"/>
          <w:b/>
          <w:color w:themeColor="accent1" w:val="156082"/>
          <w:sz w:val="20"/>
          <w:szCs w:val="20"/>
        </w:rPr>
      </w:pPr>
      <w:r>
        <w:rPr>
          <w:rFonts w:cs="Arial" w:ascii="Arial" w:hAnsi="Arial"/>
          <w:b/>
          <w:color w:themeColor="accent1" w:val="156082"/>
          <w:sz w:val="20"/>
          <w:szCs w:val="20"/>
        </w:rPr>
      </w:r>
    </w:p>
    <w:p>
      <w:pPr>
        <w:pStyle w:val="Normal"/>
        <w:ind w:right="425"/>
        <w:jc w:val="both"/>
        <w:rPr>
          <w:rFonts w:ascii="Arial" w:hAnsi="Arial" w:cs="Arial"/>
          <w:b/>
          <w:color w:themeColor="text1" w:val="000000"/>
          <w:sz w:val="20"/>
          <w:szCs w:val="20"/>
          <w:vertAlign w:val="superscript"/>
        </w:rPr>
      </w:pPr>
      <w:r>
        <w:rPr>
          <w:rFonts w:cs="Arial" w:ascii="Arial" w:hAnsi="Arial"/>
          <w:b/>
          <w:color w:themeColor="text1" w:val="000000"/>
          <w:sz w:val="20"/>
          <w:szCs w:val="20"/>
        </w:rPr>
        <w:t>Jelgavas sērijveida dzīvokļu vidējās cenas dinamika, EUR/m</w:t>
      </w:r>
      <w:r>
        <w:rPr>
          <w:rFonts w:cs="Arial" w:ascii="Arial" w:hAnsi="Arial"/>
          <w:b/>
          <w:color w:themeColor="text1" w:val="000000"/>
          <w:sz w:val="20"/>
          <w:szCs w:val="20"/>
          <w:vertAlign w:val="superscript"/>
        </w:rPr>
        <w:t>2</w:t>
      </w:r>
    </w:p>
    <w:p>
      <w:pPr>
        <w:pStyle w:val="Normal"/>
        <w:ind w:right="425"/>
        <w:jc w:val="both"/>
        <w:rPr>
          <w:rFonts w:ascii="Arial" w:hAnsi="Arial" w:cs="Arial"/>
          <w:b/>
          <w:color w:themeColor="text1" w:val="000000"/>
          <w:sz w:val="20"/>
          <w:szCs w:val="20"/>
          <w:vertAlign w:val="superscript"/>
        </w:rPr>
      </w:pPr>
      <w:r>
        <w:rPr/>
      </w:r>
    </w:p>
    <w:p>
      <w:pPr>
        <w:pStyle w:val="Normal"/>
        <w:ind w:right="425"/>
        <w:jc w:val="both"/>
        <w:rPr>
          <w:rFonts w:ascii="Arial" w:hAnsi="Arial" w:cs="Arial"/>
          <w:b/>
          <w:color w:themeColor="text1" w:val="000000"/>
          <w:sz w:val="20"/>
          <w:szCs w:val="20"/>
          <w:vertAlign w:val="superscript"/>
        </w:rPr>
      </w:pPr>
      <w:r>
        <w:rPr/>
        <w:drawing>
          <wp:inline distT="0" distB="0" distL="0" distR="0">
            <wp:extent cx="6278880" cy="1866900"/>
            <wp:effectExtent l="0" t="0" r="0" b="0"/>
            <wp:docPr id="17"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6" descr=""/>
                    <pic:cNvPicPr>
                      <a:picLocks noChangeAspect="1" noChangeArrowheads="1"/>
                    </pic:cNvPicPr>
                  </pic:nvPicPr>
                  <pic:blipFill>
                    <a:blip r:embed="rId18"/>
                    <a:stretch>
                      <a:fillRect/>
                    </a:stretch>
                  </pic:blipFill>
                  <pic:spPr bwMode="auto">
                    <a:xfrm>
                      <a:off x="0" y="0"/>
                      <a:ext cx="6278880" cy="1866900"/>
                    </a:xfrm>
                    <a:prstGeom prst="rect">
                      <a:avLst/>
                    </a:prstGeom>
                    <a:noFill/>
                  </pic:spPr>
                </pic:pic>
              </a:graphicData>
            </a:graphic>
          </wp:inline>
        </w:drawing>
      </w:r>
    </w:p>
    <w:p>
      <w:pPr>
        <w:pStyle w:val="Normal"/>
        <w:ind w:right="425"/>
        <w:jc w:val="both"/>
        <w:rPr>
          <w:rFonts w:ascii="Arial" w:hAnsi="Arial" w:cs="Arial"/>
          <w:i/>
          <w:i/>
          <w:color w:themeColor="text1" w:val="000000"/>
          <w:sz w:val="16"/>
          <w:szCs w:val="16"/>
        </w:rPr>
      </w:pPr>
      <w:r>
        <w:rPr>
          <w:rFonts w:cs="Arial" w:ascii="Arial" w:hAnsi="Arial"/>
          <w:i/>
          <w:color w:themeColor="text1" w:val="000000"/>
          <w:sz w:val="16"/>
          <w:szCs w:val="16"/>
        </w:rPr>
      </w:r>
    </w:p>
    <w:p>
      <w:pPr>
        <w:pStyle w:val="Normal"/>
        <w:ind w:right="425"/>
        <w:jc w:val="both"/>
        <w:rPr>
          <w:color w:val="808080"/>
        </w:rPr>
      </w:pPr>
      <w:r>
        <w:rPr>
          <w:rFonts w:cs="Arial" w:ascii="Arial" w:hAnsi="Arial"/>
          <w:iCs/>
          <w:color w:val="808080"/>
          <w:sz w:val="16"/>
          <w:szCs w:val="16"/>
        </w:rPr>
        <w:t>Avots: ARCO REAL ESTATE</w:t>
      </w:r>
    </w:p>
    <w:sectPr>
      <w:headerReference w:type="even" r:id="rId19"/>
      <w:headerReference w:type="default" r:id="rId20"/>
      <w:headerReference w:type="first" r:id="rId21"/>
      <w:footerReference w:type="even" r:id="rId22"/>
      <w:footerReference w:type="default" r:id="rId23"/>
      <w:footerReference w:type="first" r:id="rId24"/>
      <w:type w:val="nextPage"/>
      <w:pgSz w:w="11906" w:h="16838"/>
      <w:pgMar w:left="1134" w:right="566" w:gutter="0" w:header="708" w:top="1843" w:footer="102"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Liberation Sans">
    <w:altName w:val="Arial"/>
    <w:charset w:val="01"/>
    <w:family w:val="swiss"/>
    <w:pitch w:val="variable"/>
  </w:font>
  <w:font w:name="Tahoma">
    <w:charset w:val="01"/>
    <w:family w:val="swiss"/>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r>
      <mc:AlternateContent>
        <mc:Choice Requires="wps">
          <w:drawing>
            <wp:anchor behindDoc="0" distT="0" distB="0" distL="0" distR="0" simplePos="0" locked="0" layoutInCell="1" allowOverlap="1" relativeHeight="0">
              <wp:simplePos x="0" y="0"/>
              <wp:positionH relativeFrom="margin">
                <wp:align>center</wp:align>
              </wp:positionH>
              <wp:positionV relativeFrom="paragraph">
                <wp:posOffset>635</wp:posOffset>
              </wp:positionV>
              <wp:extent cx="14605" cy="14605"/>
              <wp:effectExtent l="0" t="0" r="0" b="0"/>
              <wp:wrapSquare wrapText="bothSides"/>
              <wp:docPr id="20" name="Frame1"/>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center;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left="-900"/>
      <w:rPr/>
    </w:pPr>
    <w:r>
      <w:rPr/>
      <w:drawing>
        <wp:anchor behindDoc="1" distT="0" distB="0" distL="0" distR="0" simplePos="0" locked="0" layoutInCell="1" allowOverlap="1" relativeHeight="10">
          <wp:simplePos x="0" y="0"/>
          <wp:positionH relativeFrom="column">
            <wp:posOffset>-732155</wp:posOffset>
          </wp:positionH>
          <wp:positionV relativeFrom="line">
            <wp:posOffset>-455930</wp:posOffset>
          </wp:positionV>
          <wp:extent cx="7595235" cy="10734675"/>
          <wp:effectExtent l="0" t="0" r="0" b="0"/>
          <wp:wrapNone/>
          <wp:docPr id="18"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7" descr=""/>
                  <pic:cNvPicPr>
                    <a:picLocks noChangeAspect="1" noChangeArrowheads="1"/>
                  </pic:cNvPicPr>
                </pic:nvPicPr>
                <pic:blipFill>
                  <a:blip r:embed="rId1"/>
                  <a:stretch>
                    <a:fillRect/>
                  </a:stretch>
                </pic:blipFill>
                <pic:spPr bwMode="auto">
                  <a:xfrm>
                    <a:off x="0" y="0"/>
                    <a:ext cx="7595235" cy="10734675"/>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left="-900"/>
      <w:rPr/>
    </w:pPr>
    <w:r>
      <w:rPr/>
      <w:drawing>
        <wp:anchor behindDoc="1" distT="0" distB="0" distL="0" distR="0" simplePos="0" locked="0" layoutInCell="1" allowOverlap="1" relativeHeight="10">
          <wp:simplePos x="0" y="0"/>
          <wp:positionH relativeFrom="column">
            <wp:posOffset>-732155</wp:posOffset>
          </wp:positionH>
          <wp:positionV relativeFrom="line">
            <wp:posOffset>-455930</wp:posOffset>
          </wp:positionV>
          <wp:extent cx="7595235" cy="10734675"/>
          <wp:effectExtent l="0" t="0" r="0" b="0"/>
          <wp:wrapNone/>
          <wp:docPr id="19"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7" descr=""/>
                  <pic:cNvPicPr>
                    <a:picLocks noChangeAspect="1" noChangeArrowheads="1"/>
                  </pic:cNvPicPr>
                </pic:nvPicPr>
                <pic:blipFill>
                  <a:blip r:embed="rId1"/>
                  <a:stretch>
                    <a:fillRect/>
                  </a:stretch>
                </pic:blipFill>
                <pic:spPr bwMode="auto">
                  <a:xfrm>
                    <a:off x="0" y="0"/>
                    <a:ext cx="7595235" cy="10734675"/>
                  </a:xfrm>
                  <a:prstGeom prst="rect">
                    <a:avLst/>
                  </a:prstGeom>
                  <a:noFill/>
                </pic:spPr>
              </pic:pic>
            </a:graphicData>
          </a:graphic>
        </wp:anchor>
      </w:drawing>
    </w:r>
  </w:p>
</w:hdr>
</file>

<file path=word/settings.xml><?xml version="1.0" encoding="utf-8"?>
<w:settings xmlns:w="http://schemas.openxmlformats.org/wordprocessingml/2006/main">
  <w:zoom w:percent="140"/>
  <w:embedSystemFonts/>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f33c8"/>
    <w:pPr>
      <w:widowControl/>
      <w:bidi w:val="0"/>
      <w:spacing w:before="0" w:after="0"/>
      <w:jc w:val="left"/>
    </w:pPr>
    <w:rPr>
      <w:rFonts w:ascii="Times New Roman" w:hAnsi="Times New Roman" w:eastAsia="Times New Roman" w:cs="Times New Roman"/>
      <w:color w:val="auto"/>
      <w:kern w:val="0"/>
      <w:sz w:val="24"/>
      <w:szCs w:val="24"/>
      <w:lang w:val="lv-LV" w:eastAsia="lv-LV" w:bidi="ar-SA"/>
    </w:rPr>
  </w:style>
  <w:style w:type="paragraph" w:styleId="Heading1">
    <w:name w:val="heading 1"/>
    <w:basedOn w:val="Normal"/>
    <w:next w:val="Normal"/>
    <w:link w:val="Heading1Char"/>
    <w:uiPriority w:val="9"/>
    <w:qFormat/>
    <w:rsid w:val="008a707c"/>
    <w:pPr>
      <w:keepNext w:val="true"/>
      <w:spacing w:before="240" w:after="60"/>
      <w:outlineLvl w:val="0"/>
    </w:pPr>
    <w:rPr>
      <w:rFonts w:ascii="Cambria" w:hAnsi="Cambria"/>
      <w:b/>
      <w:bCs/>
      <w:kern w:val="2"/>
      <w:sz w:val="32"/>
      <w:szCs w:val="32"/>
      <w:lang w:val="x-none" w:eastAsia="x-none"/>
    </w:rPr>
  </w:style>
  <w:style w:type="character" w:styleId="DefaultParagraphFont" w:default="1">
    <w:name w:val="Default Paragraph Font"/>
    <w:uiPriority w:val="1"/>
    <w:semiHidden/>
    <w:unhideWhenUsed/>
    <w:qFormat/>
    <w:rPr/>
  </w:style>
  <w:style w:type="character" w:styleId="PageNumber">
    <w:name w:val="page number"/>
    <w:basedOn w:val="DefaultParagraphFont"/>
    <w:rsid w:val="00811a85"/>
    <w:rPr/>
  </w:style>
  <w:style w:type="character" w:styleId="Heading1Char" w:customStyle="1">
    <w:name w:val="Heading 1 Char"/>
    <w:link w:val="Heading1"/>
    <w:uiPriority w:val="9"/>
    <w:qFormat/>
    <w:rsid w:val="008a707c"/>
    <w:rPr>
      <w:rFonts w:ascii="Cambria" w:hAnsi="Cambria" w:eastAsia="Times New Roman" w:cs="Times New Roman"/>
      <w:b/>
      <w:bCs/>
      <w:kern w:val="2"/>
      <w:sz w:val="32"/>
      <w:szCs w:val="32"/>
    </w:rPr>
  </w:style>
  <w:style w:type="character" w:styleId="TitleChar" w:customStyle="1">
    <w:name w:val="Title Char"/>
    <w:link w:val="Title"/>
    <w:uiPriority w:val="10"/>
    <w:qFormat/>
    <w:rsid w:val="008a707c"/>
    <w:rPr>
      <w:rFonts w:ascii="Cambria" w:hAnsi="Cambria" w:eastAsia="Times New Roman" w:cs="Times New Roman"/>
      <w:b/>
      <w:bCs/>
      <w:kern w:val="2"/>
      <w:sz w:val="32"/>
      <w:szCs w:val="32"/>
    </w:rPr>
  </w:style>
  <w:style w:type="character" w:styleId="FooterChar" w:customStyle="1">
    <w:name w:val="Footer Char"/>
    <w:basedOn w:val="DefaultParagraphFont"/>
    <w:link w:val="Footer"/>
    <w:uiPriority w:val="99"/>
    <w:qFormat/>
    <w:rsid w:val="006454c4"/>
    <w:rPr>
      <w:sz w:val="24"/>
      <w:szCs w:val="24"/>
      <w:lang w:val="lv-LV" w:eastAsia="lv-LV"/>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HeaderandFooter">
    <w:name w:val="Header and Footer"/>
    <w:basedOn w:val="Normal"/>
    <w:qFormat/>
    <w:pPr/>
    <w:rPr/>
  </w:style>
  <w:style w:type="paragraph" w:styleId="Header">
    <w:name w:val="header"/>
    <w:basedOn w:val="Normal"/>
    <w:rsid w:val="00a600f5"/>
    <w:pPr>
      <w:tabs>
        <w:tab w:val="clear" w:pos="720"/>
        <w:tab w:val="center" w:pos="4153" w:leader="none"/>
        <w:tab w:val="right" w:pos="8306" w:leader="none"/>
      </w:tabs>
    </w:pPr>
    <w:rPr/>
  </w:style>
  <w:style w:type="paragraph" w:styleId="Footer">
    <w:name w:val="footer"/>
    <w:basedOn w:val="Normal"/>
    <w:link w:val="FooterChar"/>
    <w:uiPriority w:val="99"/>
    <w:rsid w:val="00a600f5"/>
    <w:pPr>
      <w:tabs>
        <w:tab w:val="clear" w:pos="720"/>
        <w:tab w:val="center" w:pos="4153" w:leader="none"/>
        <w:tab w:val="right" w:pos="8306" w:leader="none"/>
      </w:tabs>
    </w:pPr>
    <w:rPr/>
  </w:style>
  <w:style w:type="paragraph" w:styleId="BalloonText">
    <w:name w:val="Balloon Text"/>
    <w:basedOn w:val="Normal"/>
    <w:semiHidden/>
    <w:qFormat/>
    <w:rsid w:val="00e474db"/>
    <w:pPr/>
    <w:rPr>
      <w:rFonts w:ascii="Tahoma" w:hAnsi="Tahoma" w:cs="Tahoma"/>
      <w:sz w:val="16"/>
      <w:szCs w:val="16"/>
    </w:rPr>
  </w:style>
  <w:style w:type="paragraph" w:styleId="Title">
    <w:name w:val="Title"/>
    <w:basedOn w:val="Normal"/>
    <w:next w:val="Normal"/>
    <w:link w:val="TitleChar"/>
    <w:uiPriority w:val="10"/>
    <w:qFormat/>
    <w:rsid w:val="008a707c"/>
    <w:pPr>
      <w:spacing w:before="240" w:after="60"/>
      <w:jc w:val="center"/>
      <w:outlineLvl w:val="0"/>
    </w:pPr>
    <w:rPr>
      <w:rFonts w:ascii="Cambria" w:hAnsi="Cambria"/>
      <w:b/>
      <w:bCs/>
      <w:kern w:val="2"/>
      <w:sz w:val="32"/>
      <w:szCs w:val="32"/>
      <w:lang w:val="x-none" w:eastAsia="x-none"/>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rsid w:val="00c33a5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wmf"/><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wmf"/><Relationship Id="rId12" Type="http://schemas.openxmlformats.org/officeDocument/2006/relationships/image" Target="media/image11.png"/><Relationship Id="rId13" Type="http://schemas.openxmlformats.org/officeDocument/2006/relationships/image" Target="media/image12.png"/><Relationship Id="rId14" Type="http://schemas.openxmlformats.org/officeDocument/2006/relationships/image" Target="media/image13.png"/><Relationship Id="rId15" Type="http://schemas.openxmlformats.org/officeDocument/2006/relationships/image" Target="media/image14.png"/><Relationship Id="rId16" Type="http://schemas.openxmlformats.org/officeDocument/2006/relationships/image" Target="media/image15.png"/><Relationship Id="rId17" Type="http://schemas.openxmlformats.org/officeDocument/2006/relationships/image" Target="media/image16.png"/><Relationship Id="rId18" Type="http://schemas.openxmlformats.org/officeDocument/2006/relationships/image" Target="media/image17.png"/><Relationship Id="rId19" Type="http://schemas.openxmlformats.org/officeDocument/2006/relationships/header" Target="header1.xml"/><Relationship Id="rId20" Type="http://schemas.openxmlformats.org/officeDocument/2006/relationships/header" Target="header2.xml"/><Relationship Id="rId21" Type="http://schemas.openxmlformats.org/officeDocument/2006/relationships/header" Target="header3.xml"/><Relationship Id="rId22" Type="http://schemas.openxmlformats.org/officeDocument/2006/relationships/footer" Target="footer1.xml"/><Relationship Id="rId23" Type="http://schemas.openxmlformats.org/officeDocument/2006/relationships/footer" Target="footer2.xml"/><Relationship Id="rId24" Type="http://schemas.openxmlformats.org/officeDocument/2006/relationships/footer" Target="footer3.xml"/><Relationship Id="rId25" Type="http://schemas.openxmlformats.org/officeDocument/2006/relationships/fontTable" Target="fontTable.xml"/><Relationship Id="rId26" Type="http://schemas.openxmlformats.org/officeDocument/2006/relationships/settings" Target="settings.xml"/><Relationship Id="rId27" Type="http://schemas.openxmlformats.org/officeDocument/2006/relationships/theme" Target="theme/theme1.xml"/><Relationship Id="rId28"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8.png"/>
</Relationships>
</file>

<file path=word/_rels/header3.xml.rels><?xml version="1.0" encoding="UTF-8"?>
<Relationships xmlns="http://schemas.openxmlformats.org/package/2006/relationships"><Relationship Id="rId1" Type="http://schemas.openxmlformats.org/officeDocument/2006/relationships/image" Target="media/image18.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3ACCC-1CE1-4E91-A2BF-4432C1198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Application>LibreOffice/24.8.6.2$Linux_X86_64 LibreOffice_project/480$Build-2</Application>
  <AppVersion>15.0000</AppVersion>
  <Pages>9</Pages>
  <Words>922</Words>
  <Characters>5708</Characters>
  <CharactersWithSpaces>6560</CharactersWithSpaces>
  <Paragraphs>77</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2026-08-04T08:39:00Z</dcterms:created>
  <dc:creator>Jānis Dzedulis</dc:creator>
  <dc:description/>
  <dc:language>en-US</dc:language>
  <cp:lastModifiedBy/>
  <cp:lastPrinted>2015-02-04T12:58:00Z</cp:lastPrinted>
  <dcterms:modified xsi:type="dcterms:W3CDTF">2026-08-05T11:10:52Z</dcterms:modified>
  <cp:revision>8</cp:revision>
  <dc:subject/>
  <dc:title>Galvenie secinājumi:</dc:title>
</cp:coreProperties>
</file>

<file path=docProps/custom.xml><?xml version="1.0" encoding="utf-8"?>
<Properties xmlns="http://schemas.openxmlformats.org/officeDocument/2006/custom-properties" xmlns:vt="http://schemas.openxmlformats.org/officeDocument/2006/docPropsVTypes"/>
</file>