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numbering.xml" ContentType="application/vnd.openxmlformats-officedocument.wordprocessingml.numbering+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rPr>
      </w:pPr>
      <w:r>
        <w:rPr>
          <w:rFonts w:cs="Times New Roman" w:ascii="Arial" w:hAnsi="Arial"/>
          <w:b/>
          <w:bCs/>
          <w:color w:val="212529"/>
          <w:sz w:val="24"/>
          <w:szCs w:val="24"/>
          <w:shd w:fill="FFFFFF" w:val="clear"/>
        </w:rPr>
        <w:t>Komercplatību tirgus</w:t>
      </w:r>
    </w:p>
    <w:p>
      <w:pPr>
        <w:pStyle w:val="Normal"/>
        <w:spacing w:lineRule="auto" w:line="240" w:before="0" w:after="0"/>
        <w:jc w:val="both"/>
        <w:rPr>
          <w:rFonts w:ascii="Arial" w:hAnsi="Arial" w:cs="Times New Roman"/>
          <w:b/>
          <w:bCs/>
          <w:color w:val="212529"/>
          <w:sz w:val="24"/>
          <w:szCs w:val="24"/>
          <w:shd w:fill="FFFFFF" w:val="clear"/>
        </w:rPr>
      </w:pPr>
      <w:r>
        <w:rPr>
          <w:rFonts w:cs="Times New Roman" w:ascii="Arial" w:hAnsi="Arial"/>
          <w:b/>
          <w:bCs/>
          <w:color w:val="212529"/>
          <w:sz w:val="24"/>
          <w:szCs w:val="24"/>
          <w:shd w:fill="FFFFFF" w:val="clear"/>
        </w:rPr>
      </w:r>
    </w:p>
    <w:p>
      <w:pPr>
        <w:pStyle w:val="Normal"/>
        <w:spacing w:lineRule="auto" w:line="240" w:before="0" w:after="0"/>
        <w:ind w:hanging="0"/>
        <w:jc w:val="both"/>
        <w:rPr>
          <w:rFonts w:ascii="Arial" w:hAnsi="Arial"/>
        </w:rPr>
      </w:pPr>
      <w:r>
        <w:rPr>
          <w:rFonts w:cs="Times New Roman" w:ascii="Arial" w:hAnsi="Arial"/>
          <w:color w:val="212529"/>
          <w:sz w:val="24"/>
          <w:szCs w:val="24"/>
          <w:shd w:fill="FFFFFF" w:val="clear"/>
        </w:rPr>
        <w:t xml:space="preserve">2025. gads Latvijas komercplatību tirgū iezīmējās kā lēnas, bet stabilas atveseļošanās posms pēc vēsturiski zemā 2024. gada punkta. Iepriekšējā gadā bija manāma investīciju "pauze" un investoru nogaidīšana dažāda mēroga projektos, kas vairāk bija saistīta ar </w:t>
      </w:r>
      <w:r>
        <w:rPr>
          <w:rFonts w:cs="Times New Roman" w:ascii="Arial" w:hAnsi="Arial"/>
          <w:color w:val="212529"/>
          <w:sz w:val="24"/>
          <w:szCs w:val="24"/>
          <w:shd w:fill="FFFFFF" w:val="clear"/>
        </w:rPr>
        <w:t>g</w:t>
      </w:r>
      <w:r>
        <w:rPr>
          <w:rFonts w:cs="Times New Roman" w:ascii="Arial" w:hAnsi="Arial"/>
          <w:color w:val="212529"/>
          <w:sz w:val="24"/>
          <w:szCs w:val="24"/>
          <w:shd w:fill="FFFFFF" w:val="clear"/>
        </w:rPr>
        <w:t xml:space="preserve">lobālo situāciju pasaulē, kā arī gaidāmajām prezidenta vēlēšanām </w:t>
      </w:r>
      <w:r>
        <w:rPr>
          <w:rFonts w:cs="Times New Roman" w:ascii="Arial" w:hAnsi="Arial"/>
          <w:color w:val="212529"/>
          <w:sz w:val="24"/>
          <w:szCs w:val="24"/>
          <w:shd w:fill="FFFFFF" w:val="clear"/>
        </w:rPr>
        <w:t>ASV</w:t>
      </w:r>
      <w:r>
        <w:rPr>
          <w:rFonts w:cs="Times New Roman" w:ascii="Arial" w:hAnsi="Arial"/>
          <w:color w:val="212529"/>
          <w:sz w:val="24"/>
          <w:szCs w:val="24"/>
          <w:shd w:fill="FFFFFF" w:val="clear"/>
        </w:rPr>
        <w:t xml:space="preserve">. 2025. gads atnāca ar nedaudz lielāku skaidrību par jauno globālās tirdzniecības kārtību, kā arī ekonomisko situāciju uzlaboja Eiropas Centrālās </w:t>
      </w:r>
      <w:r>
        <w:rPr>
          <w:rFonts w:cs="Times New Roman" w:ascii="Arial" w:hAnsi="Arial"/>
          <w:color w:val="212529"/>
          <w:sz w:val="24"/>
          <w:szCs w:val="24"/>
          <w:shd w:fill="FFFFFF" w:val="clear"/>
        </w:rPr>
        <w:t>b</w:t>
      </w:r>
      <w:r>
        <w:rPr>
          <w:rFonts w:cs="Times New Roman" w:ascii="Arial" w:hAnsi="Arial"/>
          <w:color w:val="212529"/>
          <w:sz w:val="24"/>
          <w:szCs w:val="24"/>
          <w:shd w:fill="FFFFFF" w:val="clear"/>
        </w:rPr>
        <w:t>ankas procentu likmju samazināšana, kas noteikti deva izrāvienu privātpersonu kreditēšanā. Diemžēl spriedze pasaules ģeopolitikā saglabājās jaunievēlētā ASV prezidenta lēmum</w:t>
      </w:r>
      <w:r>
        <w:rPr>
          <w:rFonts w:cs="Times New Roman" w:ascii="Arial" w:hAnsi="Arial"/>
          <w:color w:val="212529"/>
          <w:sz w:val="24"/>
          <w:szCs w:val="24"/>
          <w:shd w:fill="FFFFFF" w:val="clear"/>
        </w:rPr>
        <w:t xml:space="preserve">u dēļ – </w:t>
      </w:r>
      <w:r>
        <w:rPr>
          <w:rFonts w:cs="Times New Roman" w:ascii="Arial" w:hAnsi="Arial"/>
          <w:color w:val="212529"/>
          <w:sz w:val="24"/>
          <w:szCs w:val="24"/>
          <w:shd w:fill="FFFFFF" w:val="clear"/>
        </w:rPr>
        <w:t xml:space="preserve">gan par tarifu ieviešanu, gan par lēmumiem Krievijas un Ukrainas kara jautājumā, tāpēc lielie investori, kā arī  bankas, saglabāja piesardzību lielāku projektu finansēšanā, kas noveda pie tā, ka liela daļa attīstītāju piesaistīja finanšu līdzekļus, emitējot obligācijas. Veiksmīga šo obligāciju izpārdošana liecināja par to, ka mazo investoru uzticība reģionam atjaunojas, </w:t>
      </w:r>
      <w:r>
        <w:rPr>
          <w:rFonts w:cs="Times New Roman" w:ascii="Arial" w:hAnsi="Arial"/>
          <w:color w:val="212529"/>
          <w:sz w:val="24"/>
          <w:szCs w:val="24"/>
          <w:shd w:fill="FFFFFF" w:val="clear"/>
        </w:rPr>
        <w:t xml:space="preserve">ko apliecināja </w:t>
      </w:r>
      <w:r>
        <w:rPr>
          <w:rFonts w:cs="Times New Roman" w:ascii="Arial" w:hAnsi="Arial"/>
          <w:color w:val="212529"/>
          <w:sz w:val="24"/>
          <w:szCs w:val="24"/>
          <w:shd w:fill="FFFFFF" w:val="clear"/>
        </w:rPr>
        <w:t>arī investīciju apjoma pieaugums līdz 316 miljoniem eiro.</w:t>
      </w:r>
    </w:p>
    <w:p>
      <w:pPr>
        <w:pStyle w:val="Normal"/>
        <w:spacing w:lineRule="auto" w:line="240" w:before="0" w:after="0"/>
        <w:jc w:val="both"/>
        <w:rPr>
          <w:rFonts w:ascii="Arial" w:hAnsi="Arial" w:cs="Times New Roman"/>
          <w:color w:val="212529"/>
          <w:sz w:val="24"/>
          <w:szCs w:val="24"/>
          <w:shd w:fill="FFFFFF" w:val="clear"/>
        </w:rPr>
      </w:pPr>
      <w:r>
        <w:rPr>
          <w:rFonts w:cs="Times New Roman" w:ascii="Arial" w:hAnsi="Arial"/>
          <w:color w:val="212529"/>
          <w:sz w:val="24"/>
          <w:szCs w:val="24"/>
          <w:shd w:fill="FFFFFF" w:val="clear"/>
        </w:rPr>
      </w:r>
    </w:p>
    <w:p>
      <w:pPr>
        <w:pStyle w:val="Normal"/>
        <w:spacing w:lineRule="auto" w:line="240" w:before="0" w:after="0"/>
        <w:ind w:hanging="0"/>
        <w:jc w:val="both"/>
        <w:rPr>
          <w:rFonts w:ascii="Arial" w:hAnsi="Arial"/>
        </w:rPr>
      </w:pPr>
      <w:r>
        <w:rPr>
          <w:rFonts w:cs="Times New Roman" w:ascii="Arial" w:hAnsi="Arial"/>
          <w:color w:val="212529"/>
          <w:sz w:val="24"/>
          <w:szCs w:val="24"/>
          <w:shd w:fill="FFFFFF" w:val="clear"/>
        </w:rPr>
        <w:t>Biroja telpu segments pēc lielākas pauzes 2025. gada sākumā piedzīvoja cerīgu tirgus dalībnieku optimismu, ko apliecināja fakts, ka 2024. gadā "iesaldētie" projekti pamazām sāka atgriezties darba kārtībā. Spilgts piemērs tam bija būvniecības darbu atsākšana pie „Preses nama kvartāla”, kas pēc 2024. gada dīkstāves kalpoja kā svarīgs psiholoģisks pagrieziena punkts arī citiem biroja telpu attīstītājiem, no kuriem Lietuvas investīciju pārvaldes uzņēmums “Capitalica Asset Management” kā pirmais izziņoja „Verde” trešās un ceturtās kārtas īstenošanu uz blakus esošā 1,1 hektāru lielā zemesgabala. Projekts papildinās tirgu ar aptuveni 22 500 m² platību, piesaistot finansējumu caur Rietumu Bankas kredītu (19 milj</w:t>
      </w:r>
      <w:r>
        <w:rPr>
          <w:rFonts w:cs="Times New Roman" w:ascii="Arial" w:hAnsi="Arial"/>
          <w:color w:val="212529"/>
          <w:sz w:val="24"/>
          <w:szCs w:val="24"/>
          <w:shd w:fill="FFFFFF" w:val="clear"/>
        </w:rPr>
        <w:t>oni eiro</w:t>
      </w:r>
      <w:r>
        <w:rPr>
          <w:rFonts w:cs="Times New Roman" w:ascii="Arial" w:hAnsi="Arial"/>
          <w:color w:val="212529"/>
          <w:sz w:val="24"/>
          <w:szCs w:val="24"/>
          <w:shd w:fill="FFFFFF" w:val="clear"/>
        </w:rPr>
        <w:t>) un obligācijām.</w:t>
      </w:r>
    </w:p>
    <w:p>
      <w:pPr>
        <w:pStyle w:val="Normal"/>
        <w:spacing w:lineRule="auto" w:line="240" w:before="0" w:after="0"/>
        <w:ind w:firstLine="360"/>
        <w:jc w:val="both"/>
        <w:rPr>
          <w:rFonts w:ascii="Arial" w:hAnsi="Arial" w:cs="Times New Roman"/>
          <w:color w:val="212529"/>
          <w:sz w:val="24"/>
          <w:szCs w:val="24"/>
          <w:shd w:fill="FFFFFF" w:val="clear"/>
        </w:rPr>
      </w:pPr>
      <w:r>
        <w:rPr>
          <w:rFonts w:cs="Times New Roman" w:ascii="Arial" w:hAnsi="Arial"/>
          <w:color w:val="212529"/>
          <w:sz w:val="24"/>
          <w:szCs w:val="24"/>
          <w:shd w:fill="FFFFFF" w:val="clear"/>
        </w:rPr>
      </w:r>
    </w:p>
    <w:p>
      <w:pPr>
        <w:pStyle w:val="Normal"/>
        <w:spacing w:lineRule="auto" w:line="240" w:before="0" w:after="0"/>
        <w:ind w:hanging="0"/>
        <w:jc w:val="both"/>
        <w:rPr>
          <w:rFonts w:ascii="Arial" w:hAnsi="Arial"/>
        </w:rPr>
      </w:pPr>
      <w:r>
        <w:rPr>
          <w:rFonts w:cs="Times New Roman" w:ascii="Arial" w:hAnsi="Arial"/>
          <w:color w:val="212529"/>
          <w:sz w:val="24"/>
          <w:szCs w:val="24"/>
          <w:shd w:fill="FFFFFF" w:val="clear"/>
        </w:rPr>
        <w:t>Analizējot b</w:t>
      </w:r>
      <w:r>
        <w:rPr>
          <w:rFonts w:cs="Times New Roman" w:ascii="Arial" w:hAnsi="Arial"/>
          <w:color w:val="212529"/>
          <w:sz w:val="24"/>
          <w:szCs w:val="24"/>
          <w:shd w:fill="FFFFFF" w:val="clear"/>
        </w:rPr>
        <w:t xml:space="preserve">iroja telpu aizpildījumu, </w:t>
      </w:r>
      <w:r>
        <w:rPr>
          <w:rFonts w:cs="Times New Roman" w:ascii="Arial" w:hAnsi="Arial"/>
          <w:color w:val="212529"/>
          <w:sz w:val="24"/>
          <w:szCs w:val="24"/>
          <w:shd w:fill="FFFFFF" w:val="clear"/>
        </w:rPr>
        <w:t>šajā segmentā</w:t>
      </w:r>
      <w:r>
        <w:rPr>
          <w:rFonts w:cs="Times New Roman" w:ascii="Arial" w:hAnsi="Arial"/>
          <w:color w:val="212529"/>
          <w:sz w:val="24"/>
          <w:szCs w:val="24"/>
          <w:shd w:fill="FFFFFF" w:val="clear"/>
        </w:rPr>
        <w:t xml:space="preserve"> bija novērojama biroja telpu noslāņošanās p</w:t>
      </w:r>
      <w:r>
        <w:rPr>
          <w:rFonts w:cs="Times New Roman" w:ascii="Arial" w:hAnsi="Arial"/>
          <w:color w:val="212529"/>
          <w:sz w:val="24"/>
          <w:szCs w:val="24"/>
          <w:shd w:fill="FFFFFF" w:val="clear"/>
        </w:rPr>
        <w:t>ēc</w:t>
      </w:r>
      <w:r>
        <w:rPr>
          <w:rFonts w:cs="Times New Roman" w:ascii="Arial" w:hAnsi="Arial"/>
          <w:color w:val="212529"/>
          <w:sz w:val="24"/>
          <w:szCs w:val="24"/>
          <w:shd w:fill="FFFFFF" w:val="clear"/>
        </w:rPr>
        <w:t xml:space="preserve"> klasēm, kas 2025. gadā radīja jaunu realitāti: fiziskā platība vairs n</w:t>
      </w:r>
      <w:r>
        <w:rPr>
          <w:rFonts w:cs="Times New Roman" w:ascii="Arial" w:hAnsi="Arial"/>
          <w:color w:val="212529"/>
          <w:sz w:val="24"/>
          <w:szCs w:val="24"/>
          <w:shd w:fill="FFFFFF" w:val="clear"/>
        </w:rPr>
        <w:t xml:space="preserve">ebija </w:t>
      </w:r>
      <w:r>
        <w:rPr>
          <w:rFonts w:cs="Times New Roman" w:ascii="Arial" w:hAnsi="Arial"/>
          <w:color w:val="212529"/>
          <w:sz w:val="24"/>
          <w:szCs w:val="24"/>
          <w:shd w:fill="FFFFFF" w:val="clear"/>
        </w:rPr>
        <w:t xml:space="preserve">galvenā prece, </w:t>
      </w:r>
      <w:r>
        <w:rPr>
          <w:rFonts w:cs="Times New Roman" w:ascii="Arial" w:hAnsi="Arial"/>
          <w:color w:val="212529"/>
          <w:sz w:val="24"/>
          <w:szCs w:val="24"/>
          <w:shd w:fill="FFFFFF" w:val="clear"/>
        </w:rPr>
        <w:t xml:space="preserve">bet par tādu kļuva </w:t>
      </w:r>
      <w:r>
        <w:rPr>
          <w:rFonts w:cs="Times New Roman" w:ascii="Arial" w:hAnsi="Arial"/>
          <w:color w:val="212529"/>
          <w:sz w:val="24"/>
          <w:szCs w:val="24"/>
          <w:shd w:fill="FFFFFF" w:val="clear"/>
        </w:rPr>
        <w:t>energoefektivitāte un darbinieku labsajūta. Šī tendence spieda attīstītājus pārskatīt savus portfeļus, vecākas ēkas bieži vien transformējot par dzīvojamajām platībām vai 'loft' tipa birojiem, kamēr jaunie A klases projekti Skanstē un centrā sasniedza maksimālo aizpildījumu. Vecāka tipa B klases biroju ēkas saskārās ar augstu vakanču līmeni (virs 15 %), jo nomnieki masveidā pārcēlās uz energoefektīvākām telpām, lai kompensētu darba spēka izmaksu pieaugumu ar zemākiem ekspluatācijas rēķiniem. Ārvalstu IT uzņēmumu ienākšana joprojām bija piesardzīga, taču 2025. gada otrajā pusē, stabilizējoties situācijai pēc ASV vēlēšanām, atjaunojās interese par biroja telpu piedāvājumiem no Skandināvijas biznesa pakalpojumu centriem.</w:t>
      </w:r>
    </w:p>
    <w:p>
      <w:pPr>
        <w:pStyle w:val="Normal"/>
        <w:spacing w:lineRule="auto" w:line="240" w:before="0" w:after="0"/>
        <w:jc w:val="both"/>
        <w:rPr>
          <w:rFonts w:ascii="Arial" w:hAnsi="Arial" w:cs="Times New Roman"/>
          <w:color w:val="212529"/>
          <w:sz w:val="24"/>
          <w:szCs w:val="24"/>
          <w:shd w:fill="FFFFFF" w:val="clear"/>
        </w:rPr>
      </w:pPr>
      <w:r>
        <w:rPr>
          <w:rFonts w:cs="Times New Roman" w:ascii="Arial" w:hAnsi="Arial"/>
          <w:color w:val="212529"/>
          <w:sz w:val="24"/>
          <w:szCs w:val="24"/>
          <w:shd w:fill="FFFFFF" w:val="clear"/>
        </w:rPr>
      </w:r>
    </w:p>
    <w:p>
      <w:pPr>
        <w:pStyle w:val="Normal"/>
        <w:spacing w:lineRule="auto" w:line="240" w:before="0" w:after="0"/>
        <w:ind w:hanging="0"/>
        <w:jc w:val="both"/>
        <w:rPr>
          <w:rFonts w:ascii="Arial" w:hAnsi="Arial"/>
        </w:rPr>
      </w:pPr>
      <w:r>
        <w:rPr>
          <w:rFonts w:cs="Times New Roman" w:ascii="Arial" w:hAnsi="Arial"/>
          <w:sz w:val="24"/>
          <w:szCs w:val="24"/>
          <w:shd w:fill="FFFFFF" w:val="clear"/>
        </w:rPr>
        <w:t>Industriāl</w:t>
      </w:r>
      <w:r>
        <w:rPr>
          <w:rFonts w:cs="Times New Roman" w:ascii="Arial" w:hAnsi="Arial"/>
          <w:sz w:val="24"/>
          <w:szCs w:val="24"/>
          <w:shd w:fill="FFFFFF" w:val="clear"/>
        </w:rPr>
        <w:t>o</w:t>
      </w:r>
      <w:r>
        <w:rPr>
          <w:rFonts w:cs="Times New Roman" w:ascii="Arial" w:hAnsi="Arial"/>
          <w:sz w:val="24"/>
          <w:szCs w:val="24"/>
          <w:shd w:fill="FFFFFF" w:val="clear"/>
        </w:rPr>
        <w:t xml:space="preserve"> un loģistikas telpu segments 2025. gadā nostiprināja savu "tirgus favorīta" statusu. </w:t>
      </w:r>
      <w:r>
        <w:rPr>
          <w:rFonts w:cs="Times New Roman" w:ascii="Arial" w:hAnsi="Arial"/>
          <w:sz w:val="24"/>
          <w:szCs w:val="24"/>
          <w:shd w:fill="FFFFFF" w:val="clear"/>
        </w:rPr>
        <w:t>L</w:t>
      </w:r>
      <w:r>
        <w:rPr>
          <w:rFonts w:cs="Times New Roman" w:ascii="Arial" w:hAnsi="Arial"/>
          <w:sz w:val="24"/>
          <w:szCs w:val="24"/>
          <w:shd w:fill="FFFFFF" w:val="clear"/>
        </w:rPr>
        <w:t xml:space="preserve">ielākie attīstītāji </w:t>
      </w:r>
      <w:r>
        <w:rPr>
          <w:rFonts w:cs="Times New Roman" w:ascii="Arial" w:hAnsi="Arial"/>
          <w:sz w:val="24"/>
          <w:szCs w:val="24"/>
          <w:shd w:fill="FFFFFF" w:val="clear"/>
        </w:rPr>
        <w:t xml:space="preserve">šajā segmentā </w:t>
      </w:r>
      <w:r>
        <w:rPr>
          <w:rFonts w:cs="Times New Roman" w:ascii="Arial" w:hAnsi="Arial"/>
          <w:sz w:val="24"/>
          <w:szCs w:val="24"/>
          <w:shd w:fill="FFFFFF" w:val="clear"/>
        </w:rPr>
        <w:t xml:space="preserve">joprojām bija “Piche” un “Sirin Development”. Attīstītājs “Piche” nostiprināja līdera pozīcijas </w:t>
      </w:r>
      <w:r>
        <w:rPr>
          <w:rFonts w:cs="Times New Roman" w:ascii="Arial" w:hAnsi="Arial"/>
          <w:sz w:val="24"/>
          <w:szCs w:val="24"/>
          <w:shd w:fill="FFFFFF" w:val="clear"/>
        </w:rPr>
        <w:t xml:space="preserve">Rīgas apkārtnes </w:t>
      </w:r>
      <w:r>
        <w:rPr>
          <w:rFonts w:cs="Times New Roman" w:ascii="Arial" w:hAnsi="Arial"/>
          <w:sz w:val="24"/>
          <w:szCs w:val="24"/>
          <w:shd w:fill="FFFFFF" w:val="clear"/>
        </w:rPr>
        <w:t>industriālo telpu tirgū, veiksmīgi pabeidzot kārtējās būvniecības fāzes “</w:t>
      </w:r>
      <w:r>
        <w:rPr>
          <w:rFonts w:cs="Times New Roman" w:ascii="Arial" w:hAnsi="Arial"/>
          <w:sz w:val="24"/>
          <w:szCs w:val="24"/>
          <w:shd w:fill="FFFFFF" w:val="clear"/>
        </w:rPr>
        <w:t>L</w:t>
      </w:r>
      <w:r>
        <w:rPr>
          <w:rFonts w:cs="Times New Roman" w:ascii="Arial" w:hAnsi="Arial"/>
          <w:sz w:val="24"/>
          <w:szCs w:val="24"/>
          <w:shd w:fill="FFFFFF" w:val="clear"/>
        </w:rPr>
        <w:t>idostas Parkā” un attīstot jaunus industriālo telpu un “</w:t>
      </w:r>
      <w:r>
        <w:rPr>
          <w:rFonts w:cs="Times New Roman" w:ascii="Arial" w:hAnsi="Arial"/>
          <w:sz w:val="24"/>
          <w:szCs w:val="24"/>
          <w:shd w:fill="FFFFFF" w:val="clear"/>
        </w:rPr>
        <w:t>s</w:t>
      </w:r>
      <w:r>
        <w:rPr>
          <w:rFonts w:cs="Times New Roman" w:ascii="Arial" w:hAnsi="Arial"/>
          <w:sz w:val="24"/>
          <w:szCs w:val="24"/>
          <w:shd w:fill="FFFFFF" w:val="clear"/>
        </w:rPr>
        <w:t>tock-</w:t>
      </w:r>
      <w:r>
        <w:rPr>
          <w:rFonts w:cs="Times New Roman" w:ascii="Arial" w:hAnsi="Arial"/>
          <w:sz w:val="24"/>
          <w:szCs w:val="24"/>
          <w:shd w:fill="FFFFFF" w:val="clear"/>
        </w:rPr>
        <w:t>o</w:t>
      </w:r>
      <w:r>
        <w:rPr>
          <w:rFonts w:cs="Times New Roman" w:ascii="Arial" w:hAnsi="Arial"/>
          <w:sz w:val="24"/>
          <w:szCs w:val="24"/>
          <w:shd w:fill="FFFFFF" w:val="clear"/>
        </w:rPr>
        <w:t>ffice” projektus Mārupē, Valdlaučos un Dreiliņos. Kopējais investīciju apjoms tiek plānos 140 miljonu eiro apmērā. Uzņēmuma stratēģija fokusējās uz maksimālu energoefektivitāti un pašu resursu izmantošanu būvniecībā, kas ļāva savos objektos 2025. gadā uzturēt gandrīz 0 % vakances līmeni, neskatoties uz kopējo ekonomisko piesardzību reģionā.</w:t>
      </w:r>
    </w:p>
    <w:p>
      <w:pPr>
        <w:pStyle w:val="Normal"/>
        <w:spacing w:lineRule="auto" w:line="240" w:before="0" w:after="0"/>
        <w:ind w:firstLine="720"/>
        <w:jc w:val="both"/>
        <w:rPr>
          <w:rFonts w:ascii="Arial" w:hAnsi="Arial" w:cs="Times New Roman"/>
          <w:sz w:val="24"/>
          <w:szCs w:val="24"/>
          <w:shd w:fill="FFFFFF" w:val="clear"/>
        </w:rPr>
      </w:pPr>
      <w:r>
        <w:rPr>
          <w:rFonts w:cs="Times New Roman" w:ascii="Arial" w:hAnsi="Arial"/>
          <w:sz w:val="24"/>
          <w:szCs w:val="24"/>
          <w:shd w:fill="FFFFFF" w:val="clear"/>
        </w:rPr>
      </w:r>
    </w:p>
    <w:p>
      <w:pPr>
        <w:pStyle w:val="Normal"/>
        <w:spacing w:lineRule="auto" w:line="240" w:before="0" w:after="0"/>
        <w:ind w:hanging="0"/>
        <w:jc w:val="both"/>
        <w:rPr>
          <w:rFonts w:ascii="Arial" w:hAnsi="Arial"/>
        </w:rPr>
      </w:pPr>
      <w:r>
        <w:rPr>
          <w:rFonts w:cs="Times New Roman" w:ascii="Arial" w:hAnsi="Arial"/>
          <w:sz w:val="24"/>
          <w:szCs w:val="24"/>
          <w:shd w:fill="FFFFFF" w:val="clear"/>
        </w:rPr>
        <w:t>Savukārt “Sirin Development</w:t>
      </w:r>
      <w:r>
        <w:rPr>
          <w:rFonts w:cs="Times New Roman" w:ascii="Arial" w:hAnsi="Arial"/>
          <w:sz w:val="24"/>
          <w:szCs w:val="24"/>
          <w:shd w:fill="FFFFFF" w:val="clear"/>
        </w:rPr>
        <w:t>”</w:t>
      </w:r>
      <w:r>
        <w:rPr>
          <w:rFonts w:cs="Times New Roman" w:ascii="Arial" w:hAnsi="Arial"/>
          <w:sz w:val="24"/>
          <w:szCs w:val="24"/>
          <w:shd w:fill="FFFFFF" w:val="clear"/>
        </w:rPr>
        <w:t xml:space="preserve">, neraugoties uz iepriekšējā gada juridiskajiem šķēršļiem ar Rīgas domi, spēja pārorientēties uz jauniem zemes gabaliem stratēģiskos virzienos, kur uzņēmums ne tikai veiksmīgi diversificēja savu portfeli, uzsākot 100 miljonu eiro vērtu projektu Mārupē, bet arī kļuva par līderi ESG standartu ieviešanā industriālajā sektorā. Lai nebūtu atkarīgi tikai no viena virziena (Lidostas/Mārupes), 2025. gadā “Sirin </w:t>
      </w:r>
      <w:r>
        <w:rPr>
          <w:rFonts w:cs="Times New Roman" w:ascii="Arial" w:hAnsi="Arial"/>
          <w:sz w:val="24"/>
          <w:szCs w:val="24"/>
          <w:shd w:fill="FFFFFF" w:val="clear"/>
        </w:rPr>
        <w:t xml:space="preserve">Develpoment” </w:t>
      </w:r>
      <w:r>
        <w:rPr>
          <w:rFonts w:cs="Times New Roman" w:ascii="Arial" w:hAnsi="Arial"/>
          <w:sz w:val="24"/>
          <w:szCs w:val="24"/>
          <w:shd w:fill="FFFFFF" w:val="clear"/>
        </w:rPr>
        <w:t xml:space="preserve">nostiprināja savas pozīcijas arī Rīgas austrumu pusē, uzsākot “Sirin </w:t>
      </w:r>
      <w:r>
        <w:rPr>
          <w:rFonts w:cs="Times New Roman" w:ascii="Arial" w:hAnsi="Arial"/>
          <w:sz w:val="24"/>
          <w:szCs w:val="24"/>
          <w:shd w:fill="FFFFFF" w:val="clear"/>
        </w:rPr>
        <w:t>P</w:t>
      </w:r>
      <w:r>
        <w:rPr>
          <w:rFonts w:cs="Times New Roman" w:ascii="Arial" w:hAnsi="Arial"/>
          <w:sz w:val="24"/>
          <w:szCs w:val="24"/>
          <w:shd w:fill="FFFFFF" w:val="clear"/>
        </w:rPr>
        <w:t xml:space="preserve">ark Dreiliņi” būvniecību. “Sirin </w:t>
      </w:r>
      <w:r>
        <w:rPr>
          <w:rFonts w:cs="Times New Roman" w:ascii="Arial" w:hAnsi="Arial"/>
          <w:sz w:val="24"/>
          <w:szCs w:val="24"/>
          <w:shd w:fill="FFFFFF" w:val="clear"/>
        </w:rPr>
        <w:t>D</w:t>
      </w:r>
      <w:r>
        <w:rPr>
          <w:rFonts w:cs="Times New Roman" w:ascii="Arial" w:hAnsi="Arial"/>
          <w:sz w:val="24"/>
          <w:szCs w:val="24"/>
          <w:shd w:fill="FFFFFF" w:val="clear"/>
        </w:rPr>
        <w:t>evelopment” spēja piesaistīt apjomīgu ārvalstu un vietējo finansējumu brīdī, kad citi segmenti stagnēja, kas d</w:t>
      </w:r>
      <w:r>
        <w:rPr>
          <w:rFonts w:cs="Times New Roman" w:ascii="Arial" w:hAnsi="Arial"/>
          <w:sz w:val="24"/>
          <w:szCs w:val="24"/>
          <w:shd w:fill="FFFFFF" w:val="clear"/>
        </w:rPr>
        <w:t>eva</w:t>
      </w:r>
      <w:r>
        <w:rPr>
          <w:rFonts w:cs="Times New Roman" w:ascii="Arial" w:hAnsi="Arial"/>
          <w:sz w:val="24"/>
          <w:szCs w:val="24"/>
          <w:shd w:fill="FFFFFF" w:val="clear"/>
        </w:rPr>
        <w:t xml:space="preserve"> pārliecību par to, ka Industriālo un loģistikas telpu segments saglabāj</w:t>
      </w:r>
      <w:r>
        <w:rPr>
          <w:rFonts w:cs="Times New Roman" w:ascii="Arial" w:hAnsi="Arial"/>
          <w:sz w:val="24"/>
          <w:szCs w:val="24"/>
          <w:shd w:fill="FFFFFF" w:val="clear"/>
        </w:rPr>
        <w:t>ā</w:t>
      </w:r>
      <w:r>
        <w:rPr>
          <w:rFonts w:cs="Times New Roman" w:ascii="Arial" w:hAnsi="Arial"/>
          <w:sz w:val="24"/>
          <w:szCs w:val="24"/>
          <w:shd w:fill="FFFFFF" w:val="clear"/>
        </w:rPr>
        <w:t>s kā drošākais segments investīcijām.</w:t>
      </w:r>
    </w:p>
    <w:p>
      <w:pPr>
        <w:pStyle w:val="Normal"/>
        <w:spacing w:lineRule="auto" w:line="240" w:before="0" w:after="0"/>
        <w:ind w:hanging="0"/>
        <w:jc w:val="both"/>
        <w:rPr>
          <w:rFonts w:cs="Times New Roman"/>
          <w:color w:val="212529"/>
          <w:sz w:val="24"/>
          <w:szCs w:val="24"/>
          <w:shd w:fill="FFFFFF" w:val="clear"/>
        </w:rPr>
      </w:pPr>
      <w:r>
        <w:rPr>
          <w:rFonts w:ascii="Arial" w:hAnsi="Arial"/>
        </w:rPr>
      </w:r>
    </w:p>
    <w:p>
      <w:pPr>
        <w:pStyle w:val="Normal"/>
        <w:spacing w:lineRule="auto" w:line="240" w:before="0" w:after="0"/>
        <w:ind w:hanging="0"/>
        <w:jc w:val="both"/>
        <w:rPr>
          <w:rFonts w:ascii="Arial" w:hAnsi="Arial"/>
        </w:rPr>
      </w:pPr>
      <w:r>
        <w:rPr>
          <w:rFonts w:cs="Times New Roman" w:ascii="Arial" w:hAnsi="Arial"/>
          <w:color w:val="212529"/>
          <w:sz w:val="24"/>
          <w:szCs w:val="24"/>
          <w:shd w:fill="FFFFFF" w:val="clear"/>
        </w:rPr>
        <w:t>Mazumtirdzniecības telpu segmentā aktivitāte 2025. gadā saglabājās augsta, pateicoties pārtikas mazumtirgotāju agresīvajai ekspansijai. Ja 2024. gads bija “</w:t>
      </w:r>
      <w:r>
        <w:rPr>
          <w:rFonts w:cs="Times New Roman" w:ascii="Arial" w:hAnsi="Arial"/>
          <w:color w:val="212529"/>
          <w:sz w:val="24"/>
          <w:szCs w:val="24"/>
          <w:shd w:fill="FFFFFF" w:val="clear"/>
        </w:rPr>
        <w:t xml:space="preserve">Lidl” </w:t>
      </w:r>
      <w:r>
        <w:rPr>
          <w:rFonts w:cs="Times New Roman" w:ascii="Arial" w:hAnsi="Arial"/>
          <w:color w:val="212529"/>
          <w:sz w:val="24"/>
          <w:szCs w:val="24"/>
          <w:shd w:fill="FFFFFF" w:val="clear"/>
        </w:rPr>
        <w:t>un “</w:t>
      </w:r>
      <w:r>
        <w:rPr>
          <w:rFonts w:cs="Times New Roman" w:ascii="Arial" w:hAnsi="Arial"/>
          <w:color w:val="212529"/>
          <w:sz w:val="24"/>
          <w:szCs w:val="24"/>
          <w:shd w:fill="FFFFFF" w:val="clear"/>
        </w:rPr>
        <w:t xml:space="preserve">Rimi” </w:t>
      </w:r>
      <w:r>
        <w:rPr>
          <w:rFonts w:cs="Times New Roman" w:ascii="Arial" w:hAnsi="Arial"/>
          <w:color w:val="212529"/>
          <w:sz w:val="24"/>
          <w:szCs w:val="24"/>
          <w:shd w:fill="FFFFFF" w:val="clear"/>
        </w:rPr>
        <w:t xml:space="preserve">pabeigto projektu zīmē, tad 2025. gads iezīmējās ar vietējā kapitāla fondu dominanci. Spilgtākais piemērs – </w:t>
      </w:r>
      <w:r>
        <w:rPr>
          <w:rFonts w:cs="Times New Roman" w:ascii="Arial" w:hAnsi="Arial"/>
          <w:color w:val="212529"/>
          <w:sz w:val="24"/>
          <w:szCs w:val="24"/>
          <w:shd w:fill="FFFFFF" w:val="clear"/>
        </w:rPr>
        <w:t>“</w:t>
      </w:r>
      <w:r>
        <w:rPr>
          <w:rFonts w:cs="Times New Roman" w:ascii="Arial" w:hAnsi="Arial"/>
          <w:color w:val="212529"/>
          <w:sz w:val="24"/>
          <w:szCs w:val="24"/>
          <w:shd w:fill="FFFFFF" w:val="clear"/>
        </w:rPr>
        <w:t>Indexo Real Estate Fund”, kas veica tirgu stabilizējošu darījumu, iegādājoties t</w:t>
      </w:r>
      <w:r>
        <w:rPr>
          <w:rFonts w:cs="Times New Roman" w:ascii="Arial" w:hAnsi="Arial"/>
          <w:color w:val="212529"/>
          <w:sz w:val="24"/>
          <w:szCs w:val="24"/>
          <w:shd w:fill="FFFFFF" w:val="clear"/>
        </w:rPr>
        <w:t xml:space="preserve">irdzniecības centru </w:t>
      </w:r>
      <w:r>
        <w:rPr>
          <w:rFonts w:cs="Times New Roman" w:ascii="Arial" w:hAnsi="Arial"/>
          <w:color w:val="212529"/>
          <w:sz w:val="24"/>
          <w:szCs w:val="24"/>
          <w:shd w:fill="FFFFFF" w:val="clear"/>
        </w:rPr>
        <w:t>„Damme” par 35,7 miljoniem eiro. Šādi darījumi kopā ar iepriekšējos gados aizsākto t</w:t>
      </w:r>
      <w:r>
        <w:rPr>
          <w:rFonts w:cs="Times New Roman" w:ascii="Arial" w:hAnsi="Arial"/>
          <w:color w:val="212529"/>
          <w:sz w:val="24"/>
          <w:szCs w:val="24"/>
          <w:shd w:fill="FFFFFF" w:val="clear"/>
        </w:rPr>
        <w:t xml:space="preserve">irdzniecības centra </w:t>
      </w:r>
      <w:r>
        <w:rPr>
          <w:rFonts w:cs="Times New Roman" w:ascii="Arial" w:hAnsi="Arial"/>
          <w:color w:val="212529"/>
          <w:sz w:val="24"/>
          <w:szCs w:val="24"/>
          <w:shd w:fill="FFFFFF" w:val="clear"/>
        </w:rPr>
        <w:t>„Olimpija” un „Dauga” veiksmīgo repozicionēšanu apliecin</w:t>
      </w:r>
      <w:r>
        <w:rPr>
          <w:rFonts w:cs="Times New Roman" w:ascii="Arial" w:hAnsi="Arial"/>
          <w:color w:val="212529"/>
          <w:sz w:val="24"/>
          <w:szCs w:val="24"/>
          <w:shd w:fill="FFFFFF" w:val="clear"/>
        </w:rPr>
        <w:t xml:space="preserve">āja </w:t>
      </w:r>
      <w:r>
        <w:rPr>
          <w:rFonts w:cs="Times New Roman" w:ascii="Arial" w:hAnsi="Arial"/>
          <w:color w:val="212529"/>
          <w:sz w:val="24"/>
          <w:szCs w:val="24"/>
          <w:shd w:fill="FFFFFF" w:val="clear"/>
        </w:rPr>
        <w:t xml:space="preserve">investoru interesi par stabiliem nekustamo īpašumu aktīviem ar spēcīgu enkurnomnieku struktūru. Tajā pašā laikā Rīgas centra pirmā stāva </w:t>
      </w:r>
      <w:r>
        <w:rPr>
          <w:rFonts w:cs="Times New Roman" w:ascii="Arial" w:hAnsi="Arial"/>
          <w:color w:val="212529"/>
          <w:sz w:val="24"/>
          <w:szCs w:val="24"/>
          <w:shd w:fill="FFFFFF" w:val="clear"/>
        </w:rPr>
        <w:t>neiznomātās</w:t>
      </w:r>
      <w:r>
        <w:rPr>
          <w:rFonts w:cs="Times New Roman" w:ascii="Arial" w:hAnsi="Arial"/>
          <w:color w:val="212529"/>
          <w:sz w:val="24"/>
          <w:szCs w:val="24"/>
          <w:shd w:fill="FFFFFF" w:val="clear"/>
        </w:rPr>
        <w:t xml:space="preserve"> telpas  joprojām </w:t>
      </w:r>
      <w:r>
        <w:rPr>
          <w:rFonts w:cs="Times New Roman" w:ascii="Arial" w:hAnsi="Arial"/>
          <w:color w:val="212529"/>
          <w:sz w:val="24"/>
          <w:szCs w:val="24"/>
          <w:shd w:fill="FFFFFF" w:val="clear"/>
        </w:rPr>
        <w:t xml:space="preserve">bija </w:t>
      </w:r>
      <w:r>
        <w:rPr>
          <w:rFonts w:cs="Times New Roman" w:ascii="Arial" w:hAnsi="Arial"/>
          <w:color w:val="212529"/>
          <w:sz w:val="24"/>
          <w:szCs w:val="24"/>
          <w:shd w:fill="FFFFFF" w:val="clear"/>
        </w:rPr>
        <w:t>liela problēma pilsētas attīstībai. Diemžēl Rīgas centrs nevar piesaistīt pietiekami daudz apmeklētāju, lai nodrošinātu pietiekamu klientu plūsmu, kas būtiski ietekmē uzņēmumu finanšu plūsmu. Lai arī aizpildījums centra tirdzniecības telpām nedaudz pakāpās, tas pārsvarā nebija saistīts ar uzņēmumiem, kuri sniedz tirdzniecības pakalpojumus, bet gan bija skaidrojams ar tirdzniecības telpu funkciju maiņu, kur klasisko mazumtirdzniecību aizstāja pakalpojumu sektors, medicīnas centri un mazie “boutique</w:t>
      </w:r>
      <w:r>
        <w:rPr>
          <w:rFonts w:cs="Times New Roman" w:ascii="Arial" w:hAnsi="Arial"/>
          <w:color w:val="212529"/>
          <w:sz w:val="24"/>
          <w:szCs w:val="24"/>
          <w:shd w:fill="FFFFFF" w:val="clear"/>
        </w:rPr>
        <w:t>”</w:t>
      </w:r>
      <w:r>
        <w:rPr>
          <w:rFonts w:cs="Times New Roman" w:ascii="Arial" w:hAnsi="Arial"/>
          <w:color w:val="212529"/>
          <w:sz w:val="24"/>
          <w:szCs w:val="24"/>
          <w:shd w:fill="FFFFFF" w:val="clear"/>
        </w:rPr>
        <w:t xml:space="preserve"> biroji, kas spēja pielāgoties pilsētas centra mainīgajai gājēju plūsmai.</w:t>
      </w:r>
    </w:p>
    <w:p>
      <w:pPr>
        <w:pStyle w:val="Normal"/>
        <w:spacing w:lineRule="auto" w:line="240" w:before="0" w:after="0"/>
        <w:jc w:val="both"/>
        <w:rPr>
          <w:rFonts w:ascii="Arial" w:hAnsi="Arial" w:cs="Times New Roman"/>
          <w:sz w:val="24"/>
          <w:szCs w:val="24"/>
          <w:shd w:fill="FFFFFF" w:val="clear"/>
        </w:rPr>
      </w:pPr>
      <w:r>
        <w:rPr>
          <w:rFonts w:cs="Times New Roman" w:ascii="Arial" w:hAnsi="Arial"/>
          <w:sz w:val="24"/>
          <w:szCs w:val="24"/>
          <w:shd w:fill="FFFFFF" w:val="clear"/>
        </w:rPr>
      </w:r>
    </w:p>
    <w:p>
      <w:pPr>
        <w:pStyle w:val="Normal"/>
        <w:spacing w:lineRule="auto" w:line="240" w:before="0" w:after="0"/>
        <w:ind w:hanging="0"/>
        <w:jc w:val="both"/>
        <w:rPr>
          <w:rFonts w:ascii="Arial" w:hAnsi="Arial"/>
        </w:rPr>
      </w:pPr>
      <w:r>
        <w:rPr>
          <w:rFonts w:cs="Times New Roman" w:ascii="Arial" w:hAnsi="Arial"/>
          <w:sz w:val="24"/>
          <w:szCs w:val="24"/>
          <w:shd w:fill="FFFFFF" w:val="clear"/>
        </w:rPr>
        <w:t>K</w:t>
      </w:r>
      <w:r>
        <w:rPr>
          <w:rFonts w:cs="Times New Roman" w:ascii="Arial" w:hAnsi="Arial"/>
          <w:sz w:val="24"/>
          <w:szCs w:val="24"/>
          <w:shd w:fill="FFFFFF" w:val="clear"/>
        </w:rPr>
        <w:t>opumā 2025. gads pasaules ekonomikā iezīmējās kā pārejas un adaptācijas gads, norād</w:t>
      </w:r>
      <w:r>
        <w:rPr>
          <w:rFonts w:cs="Times New Roman" w:ascii="Arial" w:hAnsi="Arial"/>
          <w:sz w:val="24"/>
          <w:szCs w:val="24"/>
          <w:shd w:fill="FFFFFF" w:val="clear"/>
        </w:rPr>
        <w:t xml:space="preserve">ot </w:t>
      </w:r>
      <w:r>
        <w:rPr>
          <w:rFonts w:cs="Times New Roman" w:ascii="Arial" w:hAnsi="Arial"/>
          <w:sz w:val="24"/>
          <w:szCs w:val="24"/>
          <w:shd w:fill="FFFFFF" w:val="clear"/>
        </w:rPr>
        <w:t xml:space="preserve">uz daudzām nepilnībām pasaules kārtībā un protekcionisma pieaugumu, kas padarīja investorus piesardzīgus, tomēr likmju samazināšanās un Eirozonas iekšējā stabilitāte radīja labvēlīgu augsni kapitāla ieplūšanai drošos, uz ilgtspēju orientētos Baltijas reģiona aktīvos. Globālais IKP pieaugums pasaulē saglabājās mērens, svārstoties ap 3-3,2 %, taču, kā jau minēts, ekonomisko ainu būtiski ietekmēja krasas politiskās pārmaiņas ASV un to izraisītie tirdzniecības tarifi. Šie globālie saspīlējumi piespieda piegāžu ķēdes vēl straujāk pārorientēties, kas netieši uzturēja augstu pieprasījumu pēc industriālajām platībām Eiropā un Baltijā, bet labā ziņa </w:t>
      </w:r>
      <w:r>
        <w:rPr>
          <w:rFonts w:cs="Times New Roman" w:ascii="Arial" w:hAnsi="Arial"/>
          <w:sz w:val="24"/>
          <w:szCs w:val="24"/>
          <w:shd w:fill="FFFFFF" w:val="clear"/>
        </w:rPr>
        <w:t xml:space="preserve">bija </w:t>
      </w:r>
      <w:r>
        <w:rPr>
          <w:rFonts w:cs="Times New Roman" w:ascii="Arial" w:hAnsi="Arial"/>
          <w:sz w:val="24"/>
          <w:szCs w:val="24"/>
          <w:shd w:fill="FFFFFF" w:val="clear"/>
        </w:rPr>
        <w:t>tā, ka atšķirībā no iepriekšējo gadu stagnācijas Eirozona 2025. gadā piedzīvoja mērenu, bet stabilu atkopšanos, IKP pieaugumam sasniedzot 1,2-1,4 %.</w:t>
      </w:r>
    </w:p>
    <w:p>
      <w:pPr>
        <w:pStyle w:val="Normal"/>
        <w:spacing w:lineRule="auto" w:line="240" w:before="0" w:after="0"/>
        <w:jc w:val="both"/>
        <w:rPr>
          <w:rFonts w:ascii="Arial" w:hAnsi="Arial" w:eastAsia="Times New Roman" w:cs="Times New Roman"/>
          <w:b/>
          <w:bCs/>
          <w:color w:val="000000"/>
          <w:sz w:val="24"/>
          <w:szCs w:val="24"/>
          <w:lang w:eastAsia="lv-LV"/>
        </w:rPr>
      </w:pPr>
      <w:r>
        <w:rPr>
          <w:rFonts w:eastAsia="Times New Roman" w:cs="Times New Roman" w:ascii="Arial" w:hAnsi="Arial"/>
          <w:b/>
          <w:bCs/>
          <w:color w:val="000000"/>
          <w:sz w:val="24"/>
          <w:szCs w:val="24"/>
          <w:lang w:eastAsia="lv-LV"/>
        </w:rPr>
      </w:r>
    </w:p>
    <w:p>
      <w:pPr>
        <w:pStyle w:val="Normal"/>
        <w:spacing w:lineRule="auto" w:line="240" w:before="0" w:after="0"/>
        <w:jc w:val="both"/>
        <w:rPr>
          <w:rFonts w:ascii="Arial" w:hAnsi="Arial"/>
        </w:rPr>
      </w:pPr>
      <w:r>
        <w:rPr>
          <w:rFonts w:eastAsia="Times New Roman" w:cs="Times New Roman" w:ascii="Arial" w:hAnsi="Arial"/>
          <w:b/>
          <w:bCs/>
          <w:color w:val="000000"/>
          <w:sz w:val="24"/>
          <w:szCs w:val="24"/>
          <w:lang w:eastAsia="lv-LV"/>
        </w:rPr>
        <w:t>Biroja telpu noma</w:t>
      </w:r>
    </w:p>
    <w:p>
      <w:pPr>
        <w:pStyle w:val="Normal"/>
        <w:spacing w:lineRule="auto" w:line="240" w:before="0" w:after="0"/>
        <w:jc w:val="both"/>
        <w:rPr>
          <w:rFonts w:ascii="Arial" w:hAnsi="Arial" w:eastAsia="Times New Roman" w:cs="Times New Roman"/>
          <w:b/>
          <w:bCs/>
          <w:color w:val="000000"/>
          <w:sz w:val="24"/>
          <w:szCs w:val="24"/>
          <w:lang w:eastAsia="lv-LV"/>
        </w:rPr>
      </w:pPr>
      <w:r>
        <w:rPr>
          <w:rFonts w:eastAsia="Times New Roman" w:cs="Times New Roman" w:ascii="Arial" w:hAnsi="Arial"/>
          <w:b/>
          <w:bCs/>
          <w:color w:val="000000"/>
          <w:sz w:val="24"/>
          <w:szCs w:val="24"/>
          <w:lang w:eastAsia="lv-LV"/>
        </w:rPr>
      </w:r>
    </w:p>
    <w:p>
      <w:pPr>
        <w:pStyle w:val="Normal"/>
        <w:spacing w:lineRule="auto" w:line="240" w:before="0" w:after="0"/>
        <w:ind w:hanging="0"/>
        <w:jc w:val="both"/>
        <w:rPr>
          <w:rFonts w:ascii="Arial" w:hAnsi="Arial"/>
        </w:rPr>
      </w:pPr>
      <w:r>
        <w:rPr>
          <w:rFonts w:cs="Times New Roman" w:ascii="Arial" w:hAnsi="Arial"/>
          <w:b w:val="false"/>
          <w:bCs w:val="false"/>
          <w:color w:val="212529"/>
          <w:sz w:val="24"/>
          <w:szCs w:val="24"/>
          <w:shd w:fill="FFFFFF" w:val="clear"/>
        </w:rPr>
        <w:t>B</w:t>
      </w:r>
      <w:r>
        <w:rPr>
          <w:rFonts w:cs="Times New Roman" w:ascii="Arial" w:hAnsi="Arial"/>
          <w:color w:val="212529"/>
          <w:sz w:val="24"/>
          <w:szCs w:val="24"/>
          <w:shd w:fill="FFFFFF" w:val="clear"/>
        </w:rPr>
        <w:t>rīvo biroju telpu piedāvājums tirgū 2025. gadā turpināja pieaugt, ko veicināja gan pēdējos gados uzsākto vērienīgo projektu pabeigšana, gan uzņēmumu iekšējā optimizācija. Arvien vairāk nomnieku samazin</w:t>
      </w:r>
      <w:r>
        <w:rPr>
          <w:rFonts w:cs="Times New Roman" w:ascii="Arial" w:hAnsi="Arial"/>
          <w:color w:val="212529"/>
          <w:sz w:val="24"/>
          <w:szCs w:val="24"/>
          <w:shd w:fill="FFFFFF" w:val="clear"/>
        </w:rPr>
        <w:t>āja</w:t>
      </w:r>
      <w:r>
        <w:rPr>
          <w:rFonts w:cs="Times New Roman" w:ascii="Arial" w:hAnsi="Arial"/>
          <w:color w:val="212529"/>
          <w:sz w:val="24"/>
          <w:szCs w:val="24"/>
          <w:shd w:fill="FFFFFF" w:val="clear"/>
        </w:rPr>
        <w:t xml:space="preserve"> iznomāto telpu platību, pielāgojoties hibrīda darba modeļa realitātei, kas tirgū atbrīvo</w:t>
      </w:r>
      <w:r>
        <w:rPr>
          <w:rFonts w:cs="Times New Roman" w:ascii="Arial" w:hAnsi="Arial"/>
          <w:color w:val="212529"/>
          <w:sz w:val="24"/>
          <w:szCs w:val="24"/>
          <w:shd w:fill="FFFFFF" w:val="clear"/>
        </w:rPr>
        <w:t>ja</w:t>
      </w:r>
      <w:r>
        <w:rPr>
          <w:rFonts w:cs="Times New Roman" w:ascii="Arial" w:hAnsi="Arial"/>
          <w:color w:val="212529"/>
          <w:sz w:val="24"/>
          <w:szCs w:val="24"/>
          <w:shd w:fill="FFFFFF" w:val="clear"/>
        </w:rPr>
        <w:t xml:space="preserve"> papildu sekundārās platības. Reaģējot uz mēreno tirgus aktivitāti, biroju centru īpašnieki turpināja adaptēt ēkas jaunajām tendencēm:</w:t>
      </w:r>
    </w:p>
    <w:p>
      <w:pPr>
        <w:pStyle w:val="Normal"/>
        <w:spacing w:lineRule="auto" w:line="240" w:before="0" w:after="0"/>
        <w:jc w:val="both"/>
        <w:rPr>
          <w:rFonts w:ascii="Arial" w:hAnsi="Arial" w:cs="Times New Roman"/>
          <w:color w:val="212529"/>
          <w:sz w:val="24"/>
          <w:szCs w:val="24"/>
          <w:shd w:fill="FFFFFF" w:val="clear"/>
        </w:rPr>
      </w:pPr>
      <w:r>
        <w:rPr>
          <w:rFonts w:cs="Times New Roman" w:ascii="Arial" w:hAnsi="Arial"/>
          <w:color w:val="212529"/>
          <w:sz w:val="24"/>
          <w:szCs w:val="24"/>
          <w:shd w:fill="FFFFFF" w:val="clear"/>
        </w:rPr>
      </w:r>
    </w:p>
    <w:p>
      <w:pPr>
        <w:pStyle w:val="Normal"/>
        <w:numPr>
          <w:ilvl w:val="0"/>
          <w:numId w:val="1"/>
        </w:numPr>
        <w:spacing w:lineRule="auto" w:line="240" w:before="0" w:after="0"/>
        <w:jc w:val="both"/>
        <w:rPr>
          <w:rFonts w:ascii="Arial" w:hAnsi="Arial"/>
        </w:rPr>
      </w:pPr>
      <w:r>
        <w:rPr>
          <w:rFonts w:cs="Times New Roman" w:ascii="Arial" w:hAnsi="Arial"/>
          <w:color w:val="212529"/>
          <w:sz w:val="24"/>
          <w:szCs w:val="24"/>
          <w:shd w:fill="FFFFFF" w:val="clear"/>
        </w:rPr>
        <w:t>p</w:t>
      </w:r>
      <w:r>
        <w:rPr>
          <w:rFonts w:cs="Times New Roman" w:ascii="Arial" w:hAnsi="Arial"/>
          <w:color w:val="212529"/>
          <w:sz w:val="24"/>
          <w:szCs w:val="24"/>
          <w:shd w:fill="FFFFFF" w:val="clear"/>
        </w:rPr>
        <w:t>lānojuma maiņa: </w:t>
      </w:r>
      <w:r>
        <w:rPr>
          <w:rFonts w:cs="Times New Roman" w:ascii="Arial" w:hAnsi="Arial"/>
          <w:color w:val="212529"/>
          <w:sz w:val="24"/>
          <w:szCs w:val="24"/>
          <w:shd w:fill="FFFFFF" w:val="clear"/>
        </w:rPr>
        <w:t xml:space="preserve">notika </w:t>
      </w:r>
      <w:r>
        <w:rPr>
          <w:rFonts w:cs="Times New Roman" w:ascii="Arial" w:hAnsi="Arial"/>
          <w:color w:val="212529"/>
          <w:sz w:val="24"/>
          <w:szCs w:val="24"/>
          <w:shd w:fill="FFFFFF" w:val="clear"/>
        </w:rPr>
        <w:t>pāreja no plašām "open space" zonām uz dalītām kabinetu sistēmām un fokusētām darba stacijām, vienlaikus būtiski palielinot darbinieku atpūtas un koprades telpu īpatsvaru;</w:t>
      </w:r>
    </w:p>
    <w:p>
      <w:pPr>
        <w:pStyle w:val="Normal"/>
        <w:numPr>
          <w:ilvl w:val="0"/>
          <w:numId w:val="1"/>
        </w:numPr>
        <w:spacing w:lineRule="auto" w:line="240" w:before="0" w:after="0"/>
        <w:jc w:val="both"/>
        <w:rPr>
          <w:rFonts w:ascii="Arial" w:hAnsi="Arial"/>
        </w:rPr>
      </w:pPr>
      <w:r>
        <w:rPr>
          <w:rFonts w:cs="Times New Roman" w:ascii="Arial" w:hAnsi="Arial"/>
          <w:color w:val="212529"/>
          <w:sz w:val="24"/>
          <w:szCs w:val="24"/>
          <w:shd w:fill="FFFFFF" w:val="clear"/>
        </w:rPr>
        <w:t>e</w:t>
      </w:r>
      <w:r>
        <w:rPr>
          <w:rFonts w:cs="Times New Roman" w:ascii="Arial" w:hAnsi="Arial"/>
          <w:color w:val="212529"/>
          <w:sz w:val="24"/>
          <w:szCs w:val="24"/>
          <w:shd w:fill="FFFFFF" w:val="clear"/>
        </w:rPr>
        <w:t xml:space="preserve">fektivitāte pār apjomu: viena biroja </w:t>
      </w:r>
      <w:r>
        <w:rPr>
          <w:rFonts w:cs="Times New Roman" w:ascii="Arial" w:hAnsi="Arial"/>
          <w:color w:val="212529"/>
          <w:sz w:val="24"/>
          <w:szCs w:val="24"/>
          <w:shd w:fill="FFFFFF" w:val="clear"/>
        </w:rPr>
        <w:t>v</w:t>
      </w:r>
      <w:r>
        <w:rPr>
          <w:rFonts w:cs="Times New Roman" w:ascii="Arial" w:hAnsi="Arial"/>
          <w:color w:val="212529"/>
          <w:sz w:val="24"/>
          <w:szCs w:val="24"/>
          <w:shd w:fill="FFFFFF" w:val="clear"/>
        </w:rPr>
        <w:t>idējā platība ēkās tik</w:t>
      </w:r>
      <w:r>
        <w:rPr>
          <w:rFonts w:cs="Times New Roman" w:ascii="Arial" w:hAnsi="Arial"/>
          <w:color w:val="212529"/>
          <w:sz w:val="24"/>
          <w:szCs w:val="24"/>
          <w:shd w:fill="FFFFFF" w:val="clear"/>
        </w:rPr>
        <w:t>a</w:t>
      </w:r>
      <w:r>
        <w:rPr>
          <w:rFonts w:cs="Times New Roman" w:ascii="Arial" w:hAnsi="Arial"/>
          <w:color w:val="212529"/>
          <w:sz w:val="24"/>
          <w:szCs w:val="24"/>
          <w:shd w:fill="FFFFFF" w:val="clear"/>
        </w:rPr>
        <w:t xml:space="preserve"> samazināta, lai piesaistītu mazākus, bet maksātspējīgākus nomniekus, kuri prioritizē kvalitāti;</w:t>
      </w:r>
    </w:p>
    <w:p>
      <w:pPr>
        <w:pStyle w:val="Normal"/>
        <w:numPr>
          <w:ilvl w:val="0"/>
          <w:numId w:val="1"/>
        </w:numPr>
        <w:spacing w:lineRule="auto" w:line="240" w:before="0" w:after="0"/>
        <w:jc w:val="both"/>
        <w:rPr>
          <w:rFonts w:ascii="Arial" w:hAnsi="Arial"/>
        </w:rPr>
      </w:pPr>
      <w:r>
        <w:rPr>
          <w:rFonts w:cs="Times New Roman" w:ascii="Arial" w:hAnsi="Arial"/>
          <w:color w:val="212529"/>
          <w:sz w:val="24"/>
          <w:szCs w:val="24"/>
          <w:shd w:fill="FFFFFF" w:val="clear"/>
        </w:rPr>
        <w:t>BREEAM sertifikācija: </w:t>
      </w:r>
      <w:r>
        <w:rPr>
          <w:rFonts w:cs="Times New Roman" w:ascii="Arial" w:hAnsi="Arial"/>
          <w:color w:val="212529"/>
          <w:sz w:val="24"/>
          <w:szCs w:val="24"/>
          <w:shd w:fill="FFFFFF" w:val="clear"/>
        </w:rPr>
        <w:t>d</w:t>
      </w:r>
      <w:r>
        <w:rPr>
          <w:rFonts w:cs="Times New Roman" w:ascii="Arial" w:hAnsi="Arial"/>
          <w:color w:val="212529"/>
          <w:sz w:val="24"/>
          <w:szCs w:val="24"/>
          <w:shd w:fill="FFFFFF" w:val="clear"/>
        </w:rPr>
        <w:t>audzās ēkās turpinā</w:t>
      </w:r>
      <w:r>
        <w:rPr>
          <w:rFonts w:cs="Times New Roman" w:ascii="Arial" w:hAnsi="Arial"/>
          <w:color w:val="212529"/>
          <w:sz w:val="24"/>
          <w:szCs w:val="24"/>
          <w:shd w:fill="FFFFFF" w:val="clear"/>
        </w:rPr>
        <w:t>jā</w:t>
      </w:r>
      <w:r>
        <w:rPr>
          <w:rFonts w:cs="Times New Roman" w:ascii="Arial" w:hAnsi="Arial"/>
          <w:color w:val="212529"/>
          <w:sz w:val="24"/>
          <w:szCs w:val="24"/>
          <w:shd w:fill="FFFFFF" w:val="clear"/>
        </w:rPr>
        <w:t>s tehniskā modernizācija, lai sasniegtu augstākus energoefektivitātes rādītājus un iegūtu starptautiski atzīto BREEAM ilgtspējas sertifikātu. Tas vairs nav tikai prestižs, bet gan nepieciešams priekšnoteikums, lai konkurētu ar jaunajiem A klases projektiem komunālo pakalpojumu izmaksu ziņā.</w:t>
      </w:r>
    </w:p>
    <w:p>
      <w:pPr>
        <w:pStyle w:val="Normal"/>
        <w:spacing w:lineRule="auto" w:line="240" w:before="0" w:after="0"/>
        <w:jc w:val="both"/>
        <w:rPr>
          <w:rFonts w:ascii="Arial" w:hAnsi="Arial" w:cs="Times New Roman"/>
          <w:color w:val="212529"/>
          <w:sz w:val="24"/>
          <w:szCs w:val="24"/>
          <w:highlight w:val="yellow"/>
          <w:shd w:fill="FFFFFF" w:val="clear"/>
        </w:rPr>
      </w:pPr>
      <w:r>
        <w:rPr>
          <w:rFonts w:cs="Times New Roman" w:ascii="Arial" w:hAnsi="Arial"/>
          <w:color w:val="212529"/>
          <w:sz w:val="24"/>
          <w:szCs w:val="24"/>
          <w:highlight w:val="yellow"/>
          <w:shd w:fill="FFFFFF" w:val="clear"/>
        </w:rPr>
      </w:r>
    </w:p>
    <w:p>
      <w:pPr>
        <w:pStyle w:val="Normal"/>
        <w:spacing w:lineRule="auto" w:line="240" w:before="0" w:after="0"/>
        <w:ind w:hanging="0"/>
        <w:jc w:val="both"/>
        <w:rPr>
          <w:rFonts w:ascii="Arial" w:hAnsi="Arial"/>
        </w:rPr>
      </w:pPr>
      <w:r>
        <w:rPr>
          <w:rFonts w:cs="Times New Roman" w:ascii="Arial" w:hAnsi="Arial"/>
          <w:color w:val="212529"/>
          <w:sz w:val="24"/>
          <w:szCs w:val="24"/>
          <w:shd w:fill="FFFFFF" w:val="clear"/>
        </w:rPr>
        <w:t xml:space="preserve">Lai gan biroju platību kopējais piedāvājums Rīgā </w:t>
      </w:r>
      <w:r>
        <w:rPr>
          <w:rFonts w:cs="Times New Roman" w:ascii="Arial" w:hAnsi="Arial"/>
          <w:color w:val="212529"/>
          <w:sz w:val="24"/>
          <w:szCs w:val="24"/>
          <w:shd w:fill="FFFFFF" w:val="clear"/>
        </w:rPr>
        <w:t>bija</w:t>
      </w:r>
      <w:r>
        <w:rPr>
          <w:rFonts w:cs="Times New Roman" w:ascii="Arial" w:hAnsi="Arial"/>
          <w:color w:val="212529"/>
          <w:sz w:val="24"/>
          <w:szCs w:val="24"/>
          <w:shd w:fill="FFFFFF" w:val="clear"/>
        </w:rPr>
        <w:t xml:space="preserve"> lielākais starp Baltijas valstīm attiecībā pret pieprasījumu, tas rad</w:t>
      </w:r>
      <w:r>
        <w:rPr>
          <w:rFonts w:cs="Times New Roman" w:ascii="Arial" w:hAnsi="Arial"/>
          <w:color w:val="212529"/>
          <w:sz w:val="24"/>
          <w:szCs w:val="24"/>
          <w:shd w:fill="FFFFFF" w:val="clear"/>
        </w:rPr>
        <w:t xml:space="preserve">īja </w:t>
      </w:r>
      <w:r>
        <w:rPr>
          <w:rFonts w:cs="Times New Roman" w:ascii="Arial" w:hAnsi="Arial"/>
          <w:color w:val="212529"/>
          <w:sz w:val="24"/>
          <w:szCs w:val="24"/>
          <w:shd w:fill="FFFFFF" w:val="clear"/>
        </w:rPr>
        <w:t>labvēlīgus apstākļus nomniekiem ("nomnieku tirgus"), ļaujot uzņēmumiem izvēlēties modernākas un energoefektīvākas telpas par konkurētspējīgu cenu, tādējādi veicinot novecojušo B klases ēku pakāpenisku izstumšanu no aktīvās aprites.</w:t>
      </w:r>
    </w:p>
    <w:p>
      <w:pPr>
        <w:pStyle w:val="Normal"/>
        <w:spacing w:lineRule="auto" w:line="240" w:before="0" w:after="0"/>
        <w:ind w:hanging="0"/>
        <w:jc w:val="both"/>
        <w:rPr>
          <w:rFonts w:cs="Times New Roman"/>
          <w:color w:val="212529"/>
          <w:sz w:val="24"/>
          <w:szCs w:val="24"/>
          <w:shd w:fill="FFFFFF" w:val="clear"/>
        </w:rPr>
      </w:pPr>
      <w:r>
        <w:rPr>
          <w:rFonts w:ascii="Arial" w:hAnsi="Arial"/>
        </w:rPr>
      </w:r>
    </w:p>
    <w:p>
      <w:pPr>
        <w:pStyle w:val="Normal"/>
        <w:spacing w:lineRule="auto" w:line="240" w:before="0" w:after="0"/>
        <w:jc w:val="both"/>
        <w:rPr>
          <w:rFonts w:ascii="Arial" w:hAnsi="Arial"/>
        </w:rPr>
      </w:pPr>
      <w:r>
        <w:rPr>
          <w:rFonts w:eastAsia="Times New Roman" w:cs="Times New Roman" w:ascii="Arial" w:hAnsi="Arial"/>
          <w:b/>
          <w:bCs/>
          <w:color w:val="000000"/>
          <w:sz w:val="24"/>
          <w:szCs w:val="24"/>
          <w:lang w:eastAsia="lv-LV"/>
        </w:rPr>
        <w:t>Biroju telpu p</w:t>
      </w:r>
      <w:r>
        <w:rPr>
          <w:rFonts w:eastAsia="Times New Roman" w:cs="Times New Roman" w:ascii="Arial" w:hAnsi="Arial"/>
          <w:b/>
          <w:bCs/>
          <w:color w:val="000000"/>
          <w:sz w:val="24"/>
          <w:szCs w:val="24"/>
          <w:lang w:eastAsia="lv-LV"/>
        </w:rPr>
        <w:t xml:space="preserve">iedāvājums </w:t>
      </w:r>
    </w:p>
    <w:p>
      <w:pPr>
        <w:pStyle w:val="Normal"/>
        <w:spacing w:lineRule="auto" w:line="240" w:before="0" w:after="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Jaunu biroja ēku būvniecība 2024. </w:t>
      </w:r>
      <w:r>
        <w:rPr>
          <w:rFonts w:eastAsia="Times New Roman" w:cs="Times New Roman" w:ascii="Arial" w:hAnsi="Arial"/>
          <w:color w:val="000000"/>
          <w:sz w:val="24"/>
          <w:szCs w:val="24"/>
          <w:lang w:eastAsia="lv-LV"/>
        </w:rPr>
        <w:t xml:space="preserve">un </w:t>
      </w:r>
      <w:r>
        <w:rPr>
          <w:rFonts w:eastAsia="Times New Roman" w:cs="Times New Roman" w:ascii="Arial" w:hAnsi="Arial"/>
          <w:color w:val="000000"/>
          <w:sz w:val="24"/>
          <w:szCs w:val="24"/>
          <w:lang w:eastAsia="lv-LV"/>
        </w:rPr>
        <w:t xml:space="preserve">2025. gadā praktiski netika uzsākta, un tirgū turpinājās tikai jau iesākto projektu realizācija. </w:t>
      </w:r>
      <w:r>
        <w:rPr>
          <w:rFonts w:eastAsia="Times New Roman" w:cs="Times New Roman" w:ascii="Arial" w:hAnsi="Arial"/>
          <w:color w:val="000000"/>
          <w:sz w:val="24"/>
          <w:szCs w:val="24"/>
          <w:lang w:eastAsia="lv-LV"/>
        </w:rPr>
        <w:t xml:space="preserve">Šajā laikā </w:t>
      </w:r>
      <w:r>
        <w:rPr>
          <w:rFonts w:eastAsia="Times New Roman" w:cs="Times New Roman" w:ascii="Arial" w:hAnsi="Arial"/>
          <w:color w:val="000000"/>
          <w:sz w:val="24"/>
          <w:szCs w:val="24"/>
          <w:lang w:eastAsia="lv-LV"/>
        </w:rPr>
        <w:t>bija vērojama asa konkurence par nomnieku piesaisti starp dažādu klašu biroju centriem. Izteikti veiksmīgi nomnieku piesaistē bija jaunie A klases projekti, piemēram, “Novira Plaza”, “Verde” un “Zeiss” biroji, kuri, neskatoties uz izaicinājumiem ekonomikā, spēja nodrošināt augstu aizpildījuma līmeni, pateicoties izcilai energoefektivitātei.</w:t>
      </w:r>
    </w:p>
    <w:p>
      <w:pPr>
        <w:pStyle w:val="Normal"/>
        <w:spacing w:lineRule="auto" w:line="240" w:before="0" w:after="0"/>
        <w:ind w:hanging="0"/>
        <w:jc w:val="both"/>
        <w:rPr>
          <w:rFonts w:eastAsia="Times New Roman" w:cs="Times New Roman"/>
          <w:color w:val="000000"/>
          <w:sz w:val="24"/>
          <w:szCs w:val="24"/>
          <w:lang w:eastAsia="lv-LV"/>
        </w:rPr>
      </w:pPr>
      <w:r>
        <w:rPr>
          <w:rFonts w:ascii="Arial" w:hAnsi="Arial"/>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Aplūkojot p</w:t>
      </w:r>
      <w:r>
        <w:rPr>
          <w:rFonts w:eastAsia="Times New Roman" w:cs="Times New Roman" w:ascii="Arial" w:hAnsi="Arial"/>
          <w:color w:val="000000"/>
          <w:sz w:val="24"/>
          <w:szCs w:val="24"/>
          <w:lang w:eastAsia="lv-LV"/>
        </w:rPr>
        <w:t>ārējo</w:t>
      </w:r>
      <w:r>
        <w:rPr>
          <w:rFonts w:eastAsia="Times New Roman" w:cs="Times New Roman" w:ascii="Arial" w:hAnsi="Arial"/>
          <w:color w:val="000000"/>
          <w:sz w:val="24"/>
          <w:szCs w:val="24"/>
          <w:lang w:eastAsia="lv-LV"/>
        </w:rPr>
        <w:t>s</w:t>
      </w:r>
      <w:r>
        <w:rPr>
          <w:rFonts w:eastAsia="Times New Roman" w:cs="Times New Roman" w:ascii="Arial" w:hAnsi="Arial"/>
          <w:color w:val="000000"/>
          <w:sz w:val="24"/>
          <w:szCs w:val="24"/>
          <w:lang w:eastAsia="lv-LV"/>
        </w:rPr>
        <w:t xml:space="preserve"> piedāvājumu</w:t>
      </w:r>
      <w:r>
        <w:rPr>
          <w:rFonts w:eastAsia="Times New Roman" w:cs="Times New Roman" w:ascii="Arial" w:hAnsi="Arial"/>
          <w:color w:val="000000"/>
          <w:sz w:val="24"/>
          <w:szCs w:val="24"/>
          <w:lang w:eastAsia="lv-LV"/>
        </w:rPr>
        <w:t>s</w:t>
      </w:r>
      <w:r>
        <w:rPr>
          <w:rFonts w:eastAsia="Times New Roman" w:cs="Times New Roman" w:ascii="Arial" w:hAnsi="Arial"/>
          <w:color w:val="000000"/>
          <w:sz w:val="24"/>
          <w:szCs w:val="24"/>
          <w:lang w:eastAsia="lv-LV"/>
        </w:rPr>
        <w:t>, 2025. gadā aktīva telpu iznomāšana turpinājās tādos stratēģiski nozīmīgos biznesa centros kā “Zunda Towers”, “Business Garden Riga” un “Preses Nama Kvartāls” (pirmā kārta), bet Skanstes un centra apkārtnē –</w:t>
      </w:r>
      <w:r>
        <w:rPr>
          <w:rFonts w:eastAsia="Times New Roman" w:cs="Times New Roman" w:ascii="Arial" w:hAnsi="Arial"/>
          <w:color w:val="000000"/>
          <w:sz w:val="24"/>
          <w:szCs w:val="24"/>
          <w:lang w:eastAsia="lv-LV"/>
        </w:rPr>
        <w:t xml:space="preserve"> “</w:t>
      </w:r>
      <w:r>
        <w:rPr>
          <w:rFonts w:eastAsia="Times New Roman" w:cs="Times New Roman" w:ascii="Arial" w:hAnsi="Arial"/>
          <w:color w:val="000000"/>
          <w:sz w:val="24"/>
          <w:szCs w:val="24"/>
          <w:lang w:eastAsia="lv-LV"/>
        </w:rPr>
        <w:t xml:space="preserve">Skanste City” un “Duntes birojos”, </w:t>
      </w:r>
      <w:r>
        <w:rPr>
          <w:rFonts w:eastAsia="Times New Roman" w:cs="Times New Roman" w:ascii="Arial" w:hAnsi="Arial"/>
          <w:color w:val="000000"/>
          <w:sz w:val="24"/>
          <w:szCs w:val="24"/>
          <w:lang w:eastAsia="lv-LV"/>
        </w:rPr>
        <w:t xml:space="preserve">kamēr </w:t>
      </w:r>
      <w:r>
        <w:rPr>
          <w:rFonts w:eastAsia="Times New Roman" w:cs="Times New Roman" w:ascii="Arial" w:hAnsi="Arial"/>
          <w:color w:val="000000"/>
          <w:sz w:val="24"/>
          <w:szCs w:val="24"/>
          <w:lang w:eastAsia="lv-LV"/>
        </w:rPr>
        <w:t>Teikas un VEF apkārtnē –</w:t>
      </w:r>
      <w:r>
        <w:rPr>
          <w:rFonts w:eastAsia="Times New Roman" w:cs="Times New Roman" w:ascii="Arial" w:hAnsi="Arial"/>
          <w:color w:val="000000"/>
          <w:sz w:val="24"/>
          <w:szCs w:val="24"/>
          <w:lang w:eastAsia="lv-LV"/>
        </w:rPr>
        <w:t xml:space="preserve"> </w:t>
      </w:r>
      <w:r>
        <w:rPr>
          <w:rFonts w:eastAsia="Times New Roman" w:cs="Times New Roman" w:ascii="Arial" w:hAnsi="Arial"/>
          <w:color w:val="000000"/>
          <w:sz w:val="24"/>
          <w:szCs w:val="24"/>
          <w:lang w:eastAsia="lv-LV"/>
        </w:rPr>
        <w:t>biroju centrā “Jaunā Teika” un “Gustavs Business Center”.</w:t>
      </w:r>
    </w:p>
    <w:p>
      <w:pPr>
        <w:pStyle w:val="Normal"/>
        <w:spacing w:lineRule="auto" w:line="240" w:before="0" w:after="0"/>
        <w:ind w:firstLine="72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Būtiski atzīmēt, ka 2025. gadā cīņa par nomnieku vairs nenotika tikai ar nomas maksas palīdzību. Galvenie argumenti bija "fit-out" (telpu izbūves) budžetu pieejamība, elastīgi nomas termiņi un ēkas ilgtspējas sertifikācija (BREEAM vai LEED). Šī situācija radīja spiedienu uz vecākiem biroju centriem, kuriem, lai saglabātu konkurētspēju, bija jāveic papildu investīcijas inženiertehnisko sistēmu uzlabošanā.</w:t>
      </w:r>
    </w:p>
    <w:p>
      <w:pPr>
        <w:pStyle w:val="Normal"/>
        <w:spacing w:lineRule="auto" w:line="240" w:before="0" w:after="0"/>
        <w:jc w:val="both"/>
        <w:rPr>
          <w:rFonts w:ascii="Arial" w:hAnsi="Arial" w:eastAsia="Times New Roman" w:cs="Times New Roman"/>
          <w:color w:val="000000"/>
          <w:sz w:val="24"/>
          <w:szCs w:val="24"/>
          <w:highlight w:val="yellow"/>
          <w:lang w:eastAsia="lv-LV"/>
        </w:rPr>
      </w:pPr>
      <w:r>
        <w:rPr>
          <w:rFonts w:eastAsia="Times New Roman" w:cs="Times New Roman" w:ascii="Arial" w:hAnsi="Arial"/>
          <w:color w:val="000000"/>
          <w:sz w:val="24"/>
          <w:szCs w:val="24"/>
          <w:highlight w:val="yellow"/>
          <w:lang w:eastAsia="lv-LV"/>
        </w:rPr>
      </w:r>
    </w:p>
    <w:p>
      <w:pPr>
        <w:pStyle w:val="Normal"/>
        <w:spacing w:lineRule="auto" w:line="240" w:before="0" w:after="0"/>
        <w:jc w:val="both"/>
        <w:rPr>
          <w:rFonts w:ascii="Arial" w:hAnsi="Arial"/>
        </w:rPr>
      </w:pPr>
      <w:r>
        <w:rPr>
          <w:rFonts w:eastAsia="Times New Roman" w:cs="Times New Roman" w:ascii="Arial" w:hAnsi="Arial"/>
          <w:b/>
          <w:bCs/>
          <w:color w:val="000000"/>
          <w:sz w:val="24"/>
          <w:szCs w:val="24"/>
          <w:lang w:eastAsia="lv-LV"/>
        </w:rPr>
        <w:t xml:space="preserve">Pieprasījums </w:t>
      </w:r>
      <w:r>
        <w:rPr>
          <w:rFonts w:eastAsia="Times New Roman" w:cs="Times New Roman" w:ascii="Arial" w:hAnsi="Arial"/>
          <w:b/>
          <w:bCs/>
          <w:color w:val="000000"/>
          <w:sz w:val="24"/>
          <w:szCs w:val="24"/>
          <w:lang w:eastAsia="lv-LV"/>
        </w:rPr>
        <w:t>pēc birojiem</w:t>
      </w:r>
    </w:p>
    <w:p>
      <w:pPr>
        <w:pStyle w:val="Normal"/>
        <w:spacing w:lineRule="auto" w:line="240" w:before="0" w:after="0"/>
        <w:jc w:val="both"/>
        <w:rPr>
          <w:rFonts w:ascii="Arial" w:hAnsi="Arial" w:eastAsia="Times New Roman" w:cs="Times New Roman"/>
          <w:sz w:val="24"/>
          <w:szCs w:val="24"/>
          <w:lang w:eastAsia="lv-LV"/>
        </w:rPr>
      </w:pPr>
      <w:r>
        <w:rPr>
          <w:rFonts w:eastAsia="Times New Roman" w:cs="Times New Roman" w:ascii="Arial" w:hAnsi="Arial"/>
          <w:sz w:val="24"/>
          <w:szCs w:val="24"/>
          <w:lang w:eastAsia="lv-LV"/>
        </w:rPr>
      </w:r>
    </w:p>
    <w:p>
      <w:pPr>
        <w:pStyle w:val="Normal"/>
        <w:ind w:hanging="0"/>
        <w:jc w:val="both"/>
        <w:rPr>
          <w:rFonts w:ascii="Arial" w:hAnsi="Arial"/>
        </w:rPr>
      </w:pPr>
      <w:r>
        <w:rPr>
          <w:rFonts w:cs="Times New Roman" w:ascii="Arial" w:hAnsi="Arial"/>
          <w:sz w:val="24"/>
          <w:szCs w:val="24"/>
        </w:rPr>
        <w:t xml:space="preserve">Lielākie darījumi ar A klases biroju telpām 2025. gadā pārsvarā, kā ierasts, notika ar IT  nozares uzņēmumiem, tiem paplašinoties vai mainot atrašanās vietu. </w:t>
      </w:r>
      <w:r>
        <w:rPr>
          <w:rFonts w:cs="Times New Roman" w:ascii="Arial" w:hAnsi="Arial"/>
          <w:sz w:val="24"/>
          <w:szCs w:val="24"/>
        </w:rPr>
        <w:t xml:space="preserve">Tāpat </w:t>
      </w:r>
      <w:r>
        <w:rPr>
          <w:rFonts w:cs="Times New Roman" w:ascii="Arial" w:hAnsi="Arial"/>
          <w:sz w:val="24"/>
          <w:szCs w:val="24"/>
        </w:rPr>
        <w:t>tika novēroti pieprasījumi pēc telpām no vairākiem Skandināvijas un Vācijas uzņēmumiem, kas sniedz starptautiskus biznesa pakalpojumus. Lieli darījumi ar B klases telpām notika reti, un šīs klases biroja telpu piedāvājums tirgū, salīdzinot ar 2024. gadu, tikai pieauga, tāpēc 2025. gadā bija novērojama atsevišķu biroja ēku pārbūve par dzīvojamo platību.</w:t>
      </w:r>
    </w:p>
    <w:p>
      <w:pPr>
        <w:pStyle w:val="Normal"/>
        <w:spacing w:lineRule="auto" w:line="240" w:before="0" w:after="0"/>
        <w:jc w:val="both"/>
        <w:rPr>
          <w:rFonts w:ascii="Arial" w:hAnsi="Arial"/>
        </w:rPr>
      </w:pPr>
      <w:r>
        <w:rPr>
          <w:rFonts w:eastAsia="Times New Roman" w:cs="Times New Roman" w:ascii="Arial" w:hAnsi="Arial"/>
          <w:b/>
          <w:bCs/>
          <w:iCs/>
          <w:color w:val="000000"/>
          <w:sz w:val="24"/>
          <w:szCs w:val="24"/>
          <w:lang w:eastAsia="lv-LV"/>
        </w:rPr>
        <w:t>Biroju n</w:t>
      </w:r>
      <w:r>
        <w:rPr>
          <w:rFonts w:eastAsia="Times New Roman" w:cs="Times New Roman" w:ascii="Arial" w:hAnsi="Arial"/>
          <w:b/>
          <w:bCs/>
          <w:iCs/>
          <w:color w:val="000000"/>
          <w:sz w:val="24"/>
          <w:szCs w:val="24"/>
          <w:lang w:eastAsia="lv-LV"/>
        </w:rPr>
        <w:t>omas maksa</w:t>
      </w:r>
    </w:p>
    <w:p>
      <w:pPr>
        <w:pStyle w:val="Normal"/>
        <w:spacing w:lineRule="auto" w:line="240" w:before="0" w:after="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Biroju telpu nomas maksa 2025. gadā pārsvarā nemainījās un, pamatojoties uz inflāciju, dažos biroju centros pat nedaudz pieauga, bet, cīnoties par nomnieku piesaisti, bija vērojami B1 un B2 klases biroja telpu piedāvājumi, </w:t>
      </w:r>
      <w:r>
        <w:rPr>
          <w:rFonts w:eastAsia="Times New Roman" w:cs="Times New Roman" w:ascii="Arial" w:hAnsi="Arial"/>
          <w:color w:val="000000"/>
          <w:sz w:val="24"/>
          <w:szCs w:val="24"/>
          <w:lang w:eastAsia="lv-LV"/>
        </w:rPr>
        <w:t xml:space="preserve">kuros tika iekļautas </w:t>
      </w:r>
      <w:r>
        <w:rPr>
          <w:rFonts w:eastAsia="Times New Roman" w:cs="Times New Roman" w:ascii="Arial" w:hAnsi="Arial"/>
          <w:color w:val="000000"/>
          <w:sz w:val="24"/>
          <w:szCs w:val="24"/>
          <w:lang w:eastAsia="lv-LV"/>
        </w:rPr>
        <w:t>atlaides pirmajiem nomas mēnešiem un pat gadam, kā arī tika izstrādāti piedāvājumi ar fiksētiem maksājumiem par komunālajiem pakalpojumiem, kas kļuva par galveno pārdošanas rīku 2025. gadā, lai mazinātu nomnieku bailes no energoresursu cenu svārstībām.</w:t>
      </w:r>
    </w:p>
    <w:p>
      <w:pPr>
        <w:pStyle w:val="Normal"/>
        <w:spacing w:lineRule="auto" w:line="240" w:before="0" w:after="0"/>
        <w:ind w:firstLine="72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A klases biroja telpu nomas maksas nostabilizējās un tika piedāvātas diapazonā no 16 līdz 18,5</w:t>
      </w:r>
      <w:r>
        <w:rPr>
          <w:rFonts w:eastAsia="Times New Roman" w:cs="Times New Roman" w:ascii="Arial" w:hAnsi="Arial"/>
          <w:color w:val="000000"/>
          <w:sz w:val="24"/>
          <w:szCs w:val="24"/>
          <w:lang w:eastAsia="lv-LV"/>
        </w:rPr>
        <w:t>0</w:t>
      </w:r>
      <w:r>
        <w:rPr>
          <w:rFonts w:eastAsia="Times New Roman" w:cs="Times New Roman" w:ascii="Arial" w:hAnsi="Arial"/>
          <w:color w:val="000000"/>
          <w:sz w:val="24"/>
          <w:szCs w:val="24"/>
          <w:lang w:eastAsia="lv-LV"/>
        </w:rPr>
        <w:t xml:space="preserve"> EUR/m</w:t>
      </w:r>
      <w:r>
        <w:rPr>
          <w:rFonts w:eastAsia="Liberation Serif" w:cs="Liberation Serif" w:ascii="Liberation Serif" w:hAnsi="Liberation Serif"/>
          <w:color w:val="000000"/>
          <w:sz w:val="24"/>
          <w:szCs w:val="24"/>
          <w:lang w:eastAsia="lv-LV"/>
        </w:rPr>
        <w:t>²</w:t>
      </w:r>
      <w:r>
        <w:rPr>
          <w:rFonts w:eastAsia="Times New Roman" w:cs="Times New Roman" w:ascii="Arial" w:hAnsi="Arial"/>
          <w:color w:val="000000"/>
          <w:sz w:val="24"/>
          <w:szCs w:val="24"/>
          <w:lang w:eastAsia="lv-LV"/>
        </w:rPr>
        <w:t>, un telpu nomas maksa bija atkarīga no apdares līmeņa un telpu novietojuma ēkā. Vidējā nomas maksa A klases biroja telpām sasniedza 16,5 EUR/m</w:t>
      </w:r>
      <w:r>
        <w:rPr>
          <w:rFonts w:eastAsia="Liberation Serif" w:cs="Liberation Serif" w:ascii="Liberation Serif" w:hAnsi="Liberation Serif"/>
          <w:color w:val="000000"/>
          <w:sz w:val="24"/>
          <w:szCs w:val="24"/>
          <w:lang w:eastAsia="lv-LV"/>
        </w:rPr>
        <w:t>²</w:t>
      </w:r>
      <w:r>
        <w:rPr>
          <w:rFonts w:eastAsia="Times New Roman" w:cs="Times New Roman" w:ascii="Arial" w:hAnsi="Arial"/>
          <w:color w:val="000000"/>
          <w:sz w:val="24"/>
          <w:szCs w:val="24"/>
          <w:lang w:eastAsia="lv-LV"/>
        </w:rPr>
        <w:t xml:space="preserve"> centra biroja telpām. Nomas maksa bija atkarīga arī no telpu platības un telpu tehniskā nodrošinājuma, ka arī biroju centra atrašanās vietas.</w:t>
      </w:r>
    </w:p>
    <w:p>
      <w:pPr>
        <w:pStyle w:val="Normal"/>
        <w:spacing w:lineRule="auto" w:line="240" w:before="0" w:after="0"/>
        <w:ind w:firstLine="72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B1 klases biroju telpu vidējā nomas maksa bija diapazonā </w:t>
      </w:r>
      <w:r>
        <w:rPr>
          <w:rFonts w:eastAsia="Times New Roman" w:cs="Times New Roman" w:ascii="Arial" w:hAnsi="Arial"/>
          <w:color w:val="000000"/>
          <w:sz w:val="24"/>
          <w:szCs w:val="24"/>
          <w:lang w:eastAsia="lv-LV"/>
        </w:rPr>
        <w:t xml:space="preserve">no </w:t>
      </w:r>
      <w:r>
        <w:rPr>
          <w:rFonts w:eastAsia="Times New Roman" w:cs="Times New Roman" w:ascii="Arial" w:hAnsi="Arial"/>
          <w:color w:val="000000"/>
          <w:sz w:val="24"/>
          <w:szCs w:val="24"/>
          <w:lang w:eastAsia="lv-LV"/>
        </w:rPr>
        <w:t>10 līdz 11.50 EUR/m</w:t>
      </w:r>
      <w:r>
        <w:rPr>
          <w:rFonts w:eastAsia="Liberation Serif" w:cs="Liberation Serif" w:ascii="Liberation Serif" w:hAnsi="Liberation Serif"/>
          <w:color w:val="000000"/>
          <w:sz w:val="24"/>
          <w:szCs w:val="24"/>
          <w:lang w:eastAsia="lv-LV"/>
        </w:rPr>
        <w:t>²</w:t>
      </w:r>
      <w:r>
        <w:rPr>
          <w:rFonts w:eastAsia="Times New Roman" w:cs="Times New Roman" w:ascii="Arial" w:hAnsi="Arial"/>
          <w:color w:val="000000"/>
          <w:sz w:val="24"/>
          <w:szCs w:val="24"/>
          <w:lang w:eastAsia="lv-LV"/>
        </w:rPr>
        <w:t xml:space="preserve">, B2 klases biroju telpu vidējā nomas maksa bija diapazonā no 9 līdz </w:t>
      </w:r>
      <w:r>
        <w:rPr>
          <w:rFonts w:eastAsia="Times New Roman" w:cs="Times New Roman" w:ascii="Arial" w:hAnsi="Arial"/>
          <w:color w:val="000000"/>
          <w:sz w:val="24"/>
          <w:szCs w:val="24"/>
          <w:lang w:eastAsia="lv-LV"/>
        </w:rPr>
        <w:t>9,5</w:t>
      </w:r>
      <w:r>
        <w:rPr>
          <w:rFonts w:eastAsia="Times New Roman" w:cs="Times New Roman" w:ascii="Arial" w:hAnsi="Arial"/>
          <w:color w:val="000000"/>
          <w:sz w:val="24"/>
          <w:szCs w:val="24"/>
          <w:lang w:eastAsia="lv-LV"/>
        </w:rPr>
        <w:t xml:space="preserve"> EUR/m</w:t>
      </w:r>
      <w:r>
        <w:rPr>
          <w:rFonts w:eastAsia="Liberation Serif" w:cs="Liberation Serif" w:ascii="Liberation Serif" w:hAnsi="Liberation Serif"/>
          <w:color w:val="000000"/>
          <w:sz w:val="24"/>
          <w:szCs w:val="24"/>
          <w:lang w:eastAsia="lv-LV"/>
        </w:rPr>
        <w:t>²</w:t>
      </w:r>
      <w:r>
        <w:rPr>
          <w:rFonts w:eastAsia="Times New Roman" w:cs="Times New Roman" w:ascii="Arial" w:hAnsi="Arial"/>
          <w:color w:val="000000"/>
          <w:sz w:val="24"/>
          <w:szCs w:val="24"/>
          <w:lang w:eastAsia="lv-LV"/>
        </w:rPr>
        <w:t>, C klases biroju telpu vidējā nomas maksa praktiski nemainījās.</w:t>
      </w:r>
    </w:p>
    <w:p>
      <w:pPr>
        <w:pStyle w:val="Normal"/>
        <w:spacing w:lineRule="auto" w:line="240" w:before="0" w:after="0"/>
        <w:jc w:val="both"/>
        <w:rPr>
          <w:rFonts w:ascii="Arial" w:hAnsi="Arial" w:eastAsia="Times New Roman" w:cs="Times New Roman"/>
          <w:b/>
          <w:color w:val="000000"/>
          <w:sz w:val="24"/>
          <w:szCs w:val="24"/>
          <w:lang w:eastAsia="lv-LV"/>
        </w:rPr>
      </w:pPr>
      <w:r>
        <w:rPr>
          <w:rFonts w:eastAsia="Times New Roman" w:cs="Times New Roman" w:ascii="Arial" w:hAnsi="Arial"/>
          <w:b/>
          <w:color w:val="000000"/>
          <w:sz w:val="24"/>
          <w:szCs w:val="24"/>
          <w:lang w:eastAsia="lv-LV"/>
        </w:rPr>
      </w:r>
    </w:p>
    <w:p>
      <w:pPr>
        <w:pStyle w:val="Normal"/>
        <w:spacing w:lineRule="auto" w:line="240" w:before="0" w:after="0"/>
        <w:jc w:val="both"/>
        <w:rPr>
          <w:rFonts w:ascii="Arial" w:hAnsi="Arial"/>
        </w:rPr>
      </w:pPr>
      <w:r>
        <w:rPr>
          <w:rFonts w:eastAsia="Times New Roman" w:cs="Times New Roman" w:ascii="Arial" w:hAnsi="Arial"/>
          <w:b/>
          <w:color w:val="000000"/>
          <w:sz w:val="24"/>
          <w:szCs w:val="24"/>
          <w:lang w:eastAsia="lv-LV"/>
        </w:rPr>
        <w:t>A klases biroju vidējās nomas maksas, EUR/m²</w:t>
      </w:r>
    </w:p>
    <w:p>
      <w:pPr>
        <w:pStyle w:val="Normal"/>
        <w:spacing w:lineRule="auto" w:line="240" w:before="0" w:after="0"/>
        <w:jc w:val="both"/>
        <w:rPr>
          <w:rFonts w:eastAsia="Times New Roman" w:cs="Times New Roman"/>
          <w:b/>
          <w:color w:val="000000"/>
          <w:sz w:val="24"/>
          <w:szCs w:val="24"/>
          <w:lang w:eastAsia="lv-LV"/>
        </w:rPr>
      </w:pPr>
      <w:r>
        <w:rPr>
          <w:rFonts w:ascii="Arial" w:hAnsi="Arial"/>
        </w:rPr>
      </w:r>
    </w:p>
    <w:p>
      <w:pPr>
        <w:pStyle w:val="Normal"/>
        <w:spacing w:lineRule="auto" w:line="240" w:before="0" w:after="0"/>
        <w:jc w:val="both"/>
        <w:rPr>
          <w:rFonts w:ascii="Arial" w:hAnsi="Arial"/>
        </w:rPr>
      </w:pPr>
      <w:r>
        <w:rPr>
          <w:rFonts w:ascii="Arial" w:hAnsi="Arial"/>
        </w:rPr>
        <w:drawing>
          <wp:inline distT="0" distB="0" distL="0" distR="0">
            <wp:extent cx="6705600" cy="2647950"/>
            <wp:effectExtent l="0" t="0" r="0" b="0"/>
            <wp:docPr id="1" name="Diagramma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spacing w:lineRule="auto" w:line="240" w:before="0" w:after="0"/>
        <w:jc w:val="both"/>
        <w:rPr>
          <w:rFonts w:eastAsia="Times New Roman" w:cs="Times New Roman"/>
          <w:b/>
          <w:color w:val="000000"/>
          <w:sz w:val="24"/>
          <w:szCs w:val="24"/>
          <w:lang w:eastAsia="lv-LV"/>
        </w:rPr>
      </w:pPr>
      <w:r>
        <w:rPr>
          <w:rFonts w:ascii="Arial" w:hAnsi="Arial"/>
        </w:rPr>
      </w:r>
    </w:p>
    <w:p>
      <w:pPr>
        <w:pStyle w:val="Normal"/>
        <w:spacing w:lineRule="auto" w:line="240" w:before="0" w:after="0"/>
        <w:jc w:val="both"/>
        <w:rPr>
          <w:rFonts w:ascii="Arial" w:hAnsi="Arial"/>
        </w:rPr>
      </w:pPr>
      <w:r>
        <w:rPr>
          <w:rFonts w:eastAsia="Times New Roman" w:cs="Times New Roman" w:ascii="Arial" w:hAnsi="Arial"/>
          <w:b/>
          <w:color w:val="000000"/>
          <w:sz w:val="24"/>
          <w:szCs w:val="24"/>
          <w:lang w:eastAsia="lv-LV"/>
        </w:rPr>
        <w:t>B1 klases biroju vidējās nomas maksas, EUR/m²</w:t>
      </w:r>
    </w:p>
    <w:p>
      <w:pPr>
        <w:pStyle w:val="Normal"/>
        <w:spacing w:lineRule="auto" w:line="240" w:before="0" w:after="0"/>
        <w:jc w:val="both"/>
        <w:rPr>
          <w:rFonts w:eastAsia="Times New Roman" w:cs="Times New Roman"/>
          <w:b/>
          <w:color w:val="000000"/>
          <w:sz w:val="24"/>
          <w:szCs w:val="24"/>
          <w:lang w:eastAsia="lv-LV"/>
        </w:rPr>
      </w:pPr>
      <w:r>
        <w:rPr>
          <w:rFonts w:ascii="Arial" w:hAnsi="Arial"/>
        </w:rPr>
      </w:r>
    </w:p>
    <w:p>
      <w:pPr>
        <w:pStyle w:val="Normal"/>
        <w:spacing w:lineRule="auto" w:line="240" w:before="0" w:after="0"/>
        <w:jc w:val="both"/>
        <w:rPr>
          <w:rFonts w:ascii="Arial" w:hAnsi="Arial"/>
        </w:rPr>
      </w:pPr>
      <w:r>
        <w:rPr>
          <w:rFonts w:ascii="Arial" w:hAnsi="Arial"/>
        </w:rPr>
        <w:drawing>
          <wp:inline distT="0" distB="0" distL="0" distR="0">
            <wp:extent cx="6677660" cy="2847975"/>
            <wp:effectExtent l="0" t="0" r="0" b="0"/>
            <wp:docPr id="2" name="Object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spacing w:lineRule="auto" w:line="240" w:before="0" w:after="0"/>
        <w:jc w:val="both"/>
        <w:rPr>
          <w:rFonts w:ascii="Arial" w:hAnsi="Arial" w:eastAsia="Times New Roman" w:cs="Times New Roman"/>
          <w:b/>
          <w:color w:val="000000"/>
          <w:sz w:val="24"/>
          <w:szCs w:val="24"/>
          <w:highlight w:val="yellow"/>
          <w:lang w:eastAsia="lv-LV"/>
        </w:rPr>
      </w:pPr>
      <w:r>
        <w:rPr>
          <w:rFonts w:eastAsia="Times New Roman" w:cs="Times New Roman" w:ascii="Arial" w:hAnsi="Arial"/>
          <w:b/>
          <w:color w:val="000000"/>
          <w:sz w:val="24"/>
          <w:szCs w:val="24"/>
          <w:highlight w:val="yellow"/>
          <w:lang w:eastAsia="lv-LV"/>
        </w:rPr>
      </w:r>
    </w:p>
    <w:p>
      <w:pPr>
        <w:pStyle w:val="Normal"/>
        <w:spacing w:lineRule="auto" w:line="240" w:before="0" w:after="0"/>
        <w:jc w:val="both"/>
        <w:rPr>
          <w:rFonts w:eastAsia="Times New Roman" w:cs="Times New Roman"/>
          <w:b/>
          <w:color w:val="000000"/>
          <w:sz w:val="24"/>
          <w:szCs w:val="24"/>
          <w:lang w:eastAsia="lv-LV"/>
        </w:rPr>
      </w:pPr>
      <w:r>
        <w:rPr>
          <w:rFonts w:ascii="Arial" w:hAnsi="Arial"/>
        </w:rPr>
      </w:r>
      <w:r>
        <w:br w:type="page"/>
      </w:r>
    </w:p>
    <w:p>
      <w:pPr>
        <w:pStyle w:val="Normal"/>
        <w:spacing w:lineRule="auto" w:line="240" w:before="0" w:after="0"/>
        <w:jc w:val="both"/>
        <w:rPr>
          <w:rFonts w:ascii="Arial" w:hAnsi="Arial"/>
        </w:rPr>
      </w:pPr>
      <w:r>
        <w:rPr>
          <w:rFonts w:eastAsia="Times New Roman" w:cs="Times New Roman" w:ascii="Arial" w:hAnsi="Arial"/>
          <w:b/>
          <w:color w:val="000000"/>
          <w:sz w:val="24"/>
          <w:szCs w:val="24"/>
          <w:lang w:eastAsia="lv-LV"/>
        </w:rPr>
        <w:t>B2 klases biroju vidējās nomas maksas, EUR/m²</w:t>
      </w:r>
    </w:p>
    <w:p>
      <w:pPr>
        <w:pStyle w:val="Normal"/>
        <w:spacing w:lineRule="auto" w:line="240" w:before="0" w:after="0"/>
        <w:jc w:val="both"/>
        <w:rPr>
          <w:rFonts w:eastAsia="Times New Roman" w:cs="Times New Roman"/>
          <w:b/>
          <w:color w:val="000000"/>
          <w:sz w:val="24"/>
          <w:szCs w:val="24"/>
          <w:lang w:eastAsia="lv-LV"/>
        </w:rPr>
      </w:pPr>
      <w:r>
        <w:rPr>
          <w:rFonts w:ascii="Arial" w:hAnsi="Arial"/>
        </w:rPr>
      </w:r>
    </w:p>
    <w:p>
      <w:pPr>
        <w:pStyle w:val="Normal"/>
        <w:spacing w:lineRule="auto" w:line="240" w:before="0" w:after="0"/>
        <w:jc w:val="both"/>
        <w:rPr>
          <w:rFonts w:ascii="Arial" w:hAnsi="Arial"/>
        </w:rPr>
      </w:pPr>
      <w:r>
        <w:rPr>
          <w:rFonts w:ascii="Arial" w:hAnsi="Arial"/>
        </w:rPr>
        <w:drawing>
          <wp:inline distT="0" distB="0" distL="0" distR="0">
            <wp:extent cx="6638925" cy="3114675"/>
            <wp:effectExtent l="0" t="0" r="0" b="0"/>
            <wp:docPr id="3" name="Object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240" w:before="0" w:after="0"/>
        <w:jc w:val="both"/>
        <w:rPr>
          <w:rFonts w:ascii="Arial" w:hAnsi="Arial" w:eastAsia="Times New Roman" w:cs="Times New Roman"/>
          <w:b/>
          <w:color w:val="000000"/>
          <w:sz w:val="24"/>
          <w:szCs w:val="24"/>
          <w:highlight w:val="yellow"/>
          <w:lang w:eastAsia="lv-LV"/>
        </w:rPr>
      </w:pPr>
      <w:r>
        <w:rPr>
          <w:rFonts w:eastAsia="Times New Roman" w:cs="Times New Roman" w:ascii="Arial" w:hAnsi="Arial"/>
          <w:b/>
          <w:color w:val="000000"/>
          <w:sz w:val="24"/>
          <w:szCs w:val="24"/>
          <w:highlight w:val="yellow"/>
          <w:lang w:eastAsia="lv-LV"/>
        </w:rPr>
      </w:r>
    </w:p>
    <w:p>
      <w:pPr>
        <w:pStyle w:val="Normal"/>
        <w:spacing w:lineRule="auto" w:line="240" w:before="0" w:after="0"/>
        <w:jc w:val="both"/>
        <w:rPr>
          <w:rFonts w:ascii="Arial" w:hAnsi="Arial"/>
        </w:rPr>
      </w:pPr>
      <w:r>
        <w:rPr>
          <w:rFonts w:eastAsia="Times New Roman" w:cs="Times New Roman" w:ascii="Arial" w:hAnsi="Arial"/>
          <w:b/>
          <w:color w:val="000000"/>
          <w:sz w:val="24"/>
          <w:szCs w:val="24"/>
          <w:lang w:eastAsia="lv-LV"/>
        </w:rPr>
        <w:t>C klases biroju vidējās nomas maksas, EUR/m²</w:t>
      </w:r>
    </w:p>
    <w:p>
      <w:pPr>
        <w:pStyle w:val="Normal"/>
        <w:spacing w:lineRule="auto" w:line="240" w:before="0" w:after="0"/>
        <w:jc w:val="both"/>
        <w:rPr>
          <w:rFonts w:eastAsia="Times New Roman" w:cs="Times New Roman"/>
          <w:b/>
          <w:color w:val="000000"/>
          <w:sz w:val="24"/>
          <w:szCs w:val="24"/>
          <w:lang w:eastAsia="lv-LV"/>
        </w:rPr>
      </w:pPr>
      <w:r>
        <w:rPr>
          <w:rFonts w:ascii="Arial" w:hAnsi="Arial"/>
        </w:rPr>
      </w:r>
    </w:p>
    <w:p>
      <w:pPr>
        <w:pStyle w:val="Normal"/>
        <w:spacing w:lineRule="auto" w:line="240" w:before="0" w:after="0"/>
        <w:jc w:val="both"/>
        <w:rPr>
          <w:rFonts w:ascii="Arial" w:hAnsi="Arial"/>
        </w:rPr>
      </w:pPr>
      <w:r>
        <w:rPr>
          <w:rFonts w:ascii="Arial" w:hAnsi="Arial"/>
        </w:rPr>
        <w:drawing>
          <wp:inline distT="0" distB="0" distL="0" distR="0">
            <wp:extent cx="6572250" cy="2533650"/>
            <wp:effectExtent l="0" t="0" r="0" b="0"/>
            <wp:docPr id="4" name="Object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spacing w:lineRule="auto" w:line="240" w:before="0" w:after="0"/>
        <w:jc w:val="both"/>
        <w:rPr>
          <w:rFonts w:ascii="Arial" w:hAnsi="Arial" w:eastAsia="Times New Roman" w:cs="Times New Roman"/>
          <w:color w:val="000000"/>
          <w:sz w:val="24"/>
          <w:szCs w:val="24"/>
          <w:highlight w:val="yellow"/>
          <w:lang w:eastAsia="lv-LV"/>
        </w:rPr>
      </w:pPr>
      <w:r>
        <w:rPr>
          <w:rFonts w:eastAsia="Times New Roman" w:cs="Times New Roman" w:ascii="Arial" w:hAnsi="Arial"/>
          <w:color w:val="000000"/>
          <w:sz w:val="24"/>
          <w:szCs w:val="24"/>
          <w:highlight w:val="yellow"/>
          <w:lang w:eastAsia="lv-LV"/>
        </w:rPr>
      </w:r>
    </w:p>
    <w:p>
      <w:pPr>
        <w:pStyle w:val="Normal"/>
        <w:spacing w:lineRule="auto" w:line="240" w:before="0" w:after="0"/>
        <w:jc w:val="both"/>
        <w:rPr>
          <w:rFonts w:ascii="Arial" w:hAnsi="Arial"/>
        </w:rPr>
      </w:pPr>
      <w:r>
        <w:rPr>
          <w:rFonts w:eastAsia="Times New Roman" w:cs="Times New Roman" w:ascii="Arial" w:hAnsi="Arial"/>
          <w:b/>
          <w:bCs/>
          <w:color w:val="000000"/>
          <w:sz w:val="24"/>
          <w:szCs w:val="24"/>
          <w:lang w:eastAsia="lv-LV"/>
        </w:rPr>
        <w:t>Brīvo telpu īpatsvars</w:t>
      </w:r>
    </w:p>
    <w:p>
      <w:pPr>
        <w:pStyle w:val="Normal"/>
        <w:spacing w:lineRule="auto" w:line="240" w:before="0" w:after="0"/>
        <w:jc w:val="both"/>
        <w:rPr>
          <w:rFonts w:ascii="Arial" w:hAnsi="Arial" w:eastAsia="Times New Roman" w:cs="Times New Roman"/>
          <w:sz w:val="24"/>
          <w:szCs w:val="24"/>
          <w:lang w:eastAsia="lv-LV"/>
        </w:rPr>
      </w:pPr>
      <w:r>
        <w:rPr>
          <w:rFonts w:eastAsia="Times New Roman" w:cs="Times New Roman" w:ascii="Arial" w:hAnsi="Arial"/>
          <w:sz w:val="24"/>
          <w:szCs w:val="24"/>
          <w:lang w:eastAsia="lv-LV"/>
        </w:rPr>
      </w:r>
    </w:p>
    <w:p>
      <w:pPr>
        <w:pStyle w:val="Normal"/>
        <w:spacing w:lineRule="auto" w:line="240" w:before="0" w:after="0"/>
        <w:jc w:val="both"/>
        <w:rPr>
          <w:rFonts w:ascii="Arial" w:hAnsi="Arial"/>
        </w:rPr>
      </w:pPr>
      <w:r>
        <w:rPr>
          <w:rFonts w:eastAsia="Times New Roman" w:cs="Times New Roman" w:ascii="Arial" w:hAnsi="Arial"/>
          <w:color w:val="000000"/>
          <w:sz w:val="24"/>
          <w:szCs w:val="24"/>
          <w:lang w:eastAsia="lv-LV"/>
        </w:rPr>
        <w:t>Biroja telpu īpatsvars samazināj</w:t>
      </w:r>
      <w:r>
        <w:rPr>
          <w:rFonts w:eastAsia="Times New Roman" w:cs="Times New Roman" w:ascii="Arial" w:hAnsi="Arial"/>
          <w:color w:val="000000"/>
          <w:sz w:val="24"/>
          <w:szCs w:val="24"/>
          <w:lang w:eastAsia="lv-LV"/>
        </w:rPr>
        <w:t>ās</w:t>
      </w:r>
      <w:r>
        <w:rPr>
          <w:rFonts w:eastAsia="Times New Roman" w:cs="Times New Roman" w:ascii="Arial" w:hAnsi="Arial"/>
          <w:color w:val="000000"/>
          <w:sz w:val="24"/>
          <w:szCs w:val="24"/>
          <w:lang w:eastAsia="lv-LV"/>
        </w:rPr>
        <w:t xml:space="preserve"> A klases biroju telpu klasē, bet pieau</w:t>
      </w:r>
      <w:r>
        <w:rPr>
          <w:rFonts w:eastAsia="Times New Roman" w:cs="Times New Roman" w:ascii="Arial" w:hAnsi="Arial"/>
          <w:color w:val="000000"/>
          <w:sz w:val="24"/>
          <w:szCs w:val="24"/>
          <w:lang w:eastAsia="lv-LV"/>
        </w:rPr>
        <w:t>ga</w:t>
      </w:r>
      <w:r>
        <w:rPr>
          <w:rFonts w:eastAsia="Times New Roman" w:cs="Times New Roman" w:ascii="Arial" w:hAnsi="Arial"/>
          <w:color w:val="000000"/>
          <w:sz w:val="24"/>
          <w:szCs w:val="24"/>
          <w:lang w:eastAsia="lv-LV"/>
        </w:rPr>
        <w:t xml:space="preserve"> pārējās klasēs, kas norāda uz to, ka galvenā tendence bija nomnieku pāreja uz kvalitatīvākām biroja telpām, prioritizējot energoefektivitāti un darbinieku labsajūtu. Jauni ārvalstu uzņēmumu pieprasījumi pēc biroja telpām tirgū parādās arvien biežāk, jo </w:t>
      </w:r>
      <w:r>
        <w:rPr>
          <w:rFonts w:eastAsia="Times New Roman" w:cs="Times New Roman" w:ascii="Arial" w:hAnsi="Arial"/>
          <w:color w:val="000000"/>
          <w:sz w:val="24"/>
          <w:szCs w:val="24"/>
          <w:lang w:eastAsia="lv-LV"/>
        </w:rPr>
        <w:t>Latvijā bija</w:t>
      </w:r>
      <w:r>
        <w:rPr>
          <w:rFonts w:eastAsia="Times New Roman" w:cs="Times New Roman" w:ascii="Arial" w:hAnsi="Arial"/>
          <w:color w:val="000000"/>
          <w:sz w:val="24"/>
          <w:szCs w:val="24"/>
          <w:lang w:eastAsia="lv-LV"/>
        </w:rPr>
        <w:t xml:space="preserve"> lielākais biroja telpu piedāvājums un labākas cenas starp Baltijas valstīm. Vidējais tirgū piedāvāto brīvo biroju telpu īpatsvars A klases birojiem bija aptuveni 5-7 %, B1 klases birojiem aptuveni 20-25 %, atlikušie tirgū piedāvātie </w:t>
      </w:r>
      <w:r>
        <w:rPr>
          <w:rFonts w:eastAsia="Times New Roman" w:cs="Times New Roman" w:ascii="Arial" w:hAnsi="Arial"/>
          <w:color w:val="000000"/>
          <w:sz w:val="24"/>
          <w:szCs w:val="24"/>
          <w:lang w:eastAsia="lv-LV"/>
        </w:rPr>
        <w:t xml:space="preserve">bija </w:t>
      </w:r>
      <w:r>
        <w:rPr>
          <w:rFonts w:eastAsia="Times New Roman" w:cs="Times New Roman" w:ascii="Arial" w:hAnsi="Arial"/>
          <w:color w:val="000000"/>
          <w:sz w:val="24"/>
          <w:szCs w:val="24"/>
          <w:lang w:eastAsia="lv-LV"/>
        </w:rPr>
        <w:t xml:space="preserve">B2, C klases biroji, tāpēc Rīga 2025. gadā nogalē kļuva par pievilcīgāko galamērķi jaunajiem ārvalstu uzņēmumiem </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r lielāko kopējo piedāvājumu un par 15-20 % zemākām nomas maksām nekā Tallinā vai Viļņā.</w:t>
      </w:r>
    </w:p>
    <w:p>
      <w:pPr>
        <w:pStyle w:val="Normal"/>
        <w:spacing w:lineRule="auto" w:line="240" w:before="0" w:after="0"/>
        <w:jc w:val="both"/>
        <w:rPr>
          <w:rFonts w:ascii="Arial" w:hAnsi="Arial"/>
        </w:rPr>
      </w:pPr>
      <w:r>
        <w:rPr>
          <w:rFonts w:eastAsia="Times New Roman" w:cs="Times New Roman" w:ascii="Arial" w:hAnsi="Arial"/>
          <w:color w:val="000000"/>
          <w:sz w:val="24"/>
          <w:szCs w:val="24"/>
          <w:lang w:eastAsia="lv-LV"/>
        </w:rPr>
        <w:t xml:space="preserve"> </w:t>
      </w:r>
    </w:p>
    <w:p>
      <w:pPr>
        <w:pStyle w:val="Normal"/>
        <w:spacing w:lineRule="auto" w:line="240" w:before="0" w:after="0"/>
        <w:jc w:val="both"/>
        <w:rPr>
          <w:rFonts w:ascii="Arial" w:hAnsi="Arial"/>
        </w:rPr>
      </w:pPr>
      <w:r>
        <w:rPr>
          <w:rFonts w:eastAsia="Times New Roman" w:cs="Times New Roman" w:ascii="Arial" w:hAnsi="Arial"/>
          <w:color w:val="000000"/>
          <w:sz w:val="24"/>
          <w:szCs w:val="24"/>
          <w:lang w:eastAsia="lv-LV"/>
        </w:rPr>
        <w:t>Pretēji 2024. gada bažām 2025. gad</w:t>
      </w:r>
      <w:r>
        <w:rPr>
          <w:rFonts w:eastAsia="Times New Roman" w:cs="Times New Roman" w:ascii="Arial" w:hAnsi="Arial"/>
          <w:color w:val="000000"/>
          <w:sz w:val="24"/>
          <w:szCs w:val="24"/>
          <w:lang w:eastAsia="lv-LV"/>
        </w:rPr>
        <w:t xml:space="preserve">ā tika novērots </w:t>
      </w:r>
      <w:r>
        <w:rPr>
          <w:rFonts w:eastAsia="Times New Roman" w:cs="Times New Roman" w:ascii="Arial" w:hAnsi="Arial"/>
          <w:color w:val="000000"/>
          <w:sz w:val="24"/>
          <w:szCs w:val="24"/>
          <w:lang w:eastAsia="lv-LV"/>
        </w:rPr>
        <w:t>uzņēmējdarbības aktivitātes pieaugum</w:t>
      </w:r>
      <w:r>
        <w:rPr>
          <w:rFonts w:eastAsia="Times New Roman" w:cs="Times New Roman" w:ascii="Arial" w:hAnsi="Arial"/>
          <w:color w:val="000000"/>
          <w:sz w:val="24"/>
          <w:szCs w:val="24"/>
          <w:lang w:eastAsia="lv-LV"/>
        </w:rPr>
        <w:t>s.</w:t>
      </w:r>
      <w:r>
        <w:rPr>
          <w:rFonts w:eastAsia="Times New Roman" w:cs="Times New Roman" w:ascii="Arial" w:hAnsi="Arial"/>
          <w:color w:val="000000"/>
          <w:sz w:val="24"/>
          <w:szCs w:val="24"/>
          <w:lang w:eastAsia="lv-LV"/>
        </w:rPr>
        <w:t xml:space="preserve"> Uzņēmumu reģistra apkopotie dati liecin</w:t>
      </w:r>
      <w:r>
        <w:rPr>
          <w:rFonts w:eastAsia="Times New Roman" w:cs="Times New Roman" w:ascii="Arial" w:hAnsi="Arial"/>
          <w:color w:val="000000"/>
          <w:sz w:val="24"/>
          <w:szCs w:val="24"/>
          <w:lang w:eastAsia="lv-LV"/>
        </w:rPr>
        <w:t>āja</w:t>
      </w:r>
      <w:r>
        <w:rPr>
          <w:rFonts w:eastAsia="Times New Roman" w:cs="Times New Roman" w:ascii="Arial" w:hAnsi="Arial"/>
          <w:color w:val="000000"/>
          <w:sz w:val="24"/>
          <w:szCs w:val="24"/>
          <w:lang w:eastAsia="lv-LV"/>
        </w:rPr>
        <w:t>, ka dibināto un likvidēto uzņēmumu skaita dinamika</w:t>
      </w:r>
      <w:r>
        <w:rPr>
          <w:rFonts w:eastAsia="Times New Roman" w:cs="Times New Roman" w:ascii="Arial" w:hAnsi="Arial"/>
          <w:color w:val="000000"/>
          <w:sz w:val="24"/>
          <w:szCs w:val="24"/>
          <w:lang w:eastAsia="lv-LV"/>
        </w:rPr>
        <w:t xml:space="preserve">i bija </w:t>
      </w:r>
      <w:r>
        <w:rPr>
          <w:rFonts w:eastAsia="Times New Roman" w:cs="Times New Roman" w:ascii="Arial" w:hAnsi="Arial"/>
          <w:color w:val="000000"/>
          <w:sz w:val="24"/>
          <w:szCs w:val="24"/>
          <w:lang w:eastAsia="lv-LV"/>
        </w:rPr>
        <w:t>pozitīv</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 xml:space="preserve"> tendence, kas uzrād</w:t>
      </w:r>
      <w:r>
        <w:rPr>
          <w:rFonts w:eastAsia="Times New Roman" w:cs="Times New Roman" w:ascii="Arial" w:hAnsi="Arial"/>
          <w:color w:val="000000"/>
          <w:sz w:val="24"/>
          <w:szCs w:val="24"/>
          <w:lang w:eastAsia="lv-LV"/>
        </w:rPr>
        <w:t>īja</w:t>
      </w:r>
      <w:r>
        <w:rPr>
          <w:rFonts w:eastAsia="Times New Roman" w:cs="Times New Roman" w:ascii="Arial" w:hAnsi="Arial"/>
          <w:color w:val="000000"/>
          <w:sz w:val="24"/>
          <w:szCs w:val="24"/>
          <w:lang w:eastAsia="lv-LV"/>
        </w:rPr>
        <w:t xml:space="preserve"> dibināto uzņēmumu skaita pieaugumu. Tas nozīmē, ka biroju un industriālo telpu tirgū beidzot parād</w:t>
      </w:r>
      <w:r>
        <w:rPr>
          <w:rFonts w:eastAsia="Times New Roman" w:cs="Times New Roman" w:ascii="Arial" w:hAnsi="Arial"/>
          <w:color w:val="000000"/>
          <w:sz w:val="24"/>
          <w:szCs w:val="24"/>
          <w:lang w:eastAsia="lv-LV"/>
        </w:rPr>
        <w:t>īj</w:t>
      </w:r>
      <w:r>
        <w:rPr>
          <w:rFonts w:eastAsia="Times New Roman" w:cs="Times New Roman" w:ascii="Arial" w:hAnsi="Arial"/>
          <w:color w:val="000000"/>
          <w:sz w:val="24"/>
          <w:szCs w:val="24"/>
          <w:lang w:eastAsia="lv-LV"/>
        </w:rPr>
        <w:t>ās "jaunas asinis" – jauni uzņēmumi, kuriem vajadzīgas platības, nevis tikai esošo nomnieku pārvietošanās.</w:t>
      </w:r>
    </w:p>
    <w:p>
      <w:pPr>
        <w:pStyle w:val="Normal"/>
        <w:spacing w:lineRule="auto" w:line="240" w:before="0" w:after="0"/>
        <w:jc w:val="both"/>
        <w:rPr>
          <w:rFonts w:ascii="Arial" w:hAnsi="Arial"/>
        </w:rPr>
      </w:pPr>
      <w:r>
        <w:rPr>
          <w:rFonts w:eastAsia="Times New Roman" w:cs="Times New Roman" w:ascii="Arial" w:hAnsi="Arial"/>
          <w:color w:val="000000"/>
          <w:sz w:val="24"/>
          <w:szCs w:val="24"/>
          <w:lang w:eastAsia="lv-LV"/>
        </w:rPr>
        <w:tab/>
      </w:r>
    </w:p>
    <w:p>
      <w:pPr>
        <w:pStyle w:val="Normal"/>
        <w:spacing w:lineRule="auto" w:line="240" w:before="0" w:after="0"/>
        <w:jc w:val="both"/>
        <w:rPr>
          <w:rFonts w:ascii="Arial" w:hAnsi="Arial"/>
        </w:rPr>
      </w:pPr>
      <w:r>
        <w:rPr>
          <w:rFonts w:eastAsia="Times New Roman" w:cs="Times New Roman" w:ascii="Arial" w:hAnsi="Arial"/>
          <w:b/>
          <w:bCs/>
          <w:color w:val="000000"/>
          <w:sz w:val="20"/>
          <w:szCs w:val="20"/>
          <w:lang w:eastAsia="lv-LV"/>
        </w:rPr>
        <w:t>D</w:t>
      </w:r>
      <w:r>
        <w:rPr>
          <w:rFonts w:eastAsia="Times New Roman" w:cs="Times New Roman" w:ascii="Arial" w:hAnsi="Arial"/>
          <w:b/>
          <w:bCs/>
          <w:color w:val="000000"/>
          <w:sz w:val="20"/>
          <w:szCs w:val="20"/>
          <w:lang w:eastAsia="lv-LV"/>
        </w:rPr>
        <w:t>ibināto un likvidēto uzņēmumu skaita dinamika</w:t>
      </w:r>
    </w:p>
    <w:p>
      <w:pPr>
        <w:pStyle w:val="Normal"/>
        <w:spacing w:lineRule="auto" w:line="240" w:before="0" w:after="0"/>
        <w:jc w:val="both"/>
        <w:rPr>
          <w:rFonts w:ascii="Arial" w:hAnsi="Arial" w:eastAsia="Times New Roman" w:cs="Times New Roman"/>
          <w:b/>
          <w:bCs/>
          <w:color w:val="000000"/>
          <w:sz w:val="20"/>
          <w:szCs w:val="20"/>
          <w:lang w:eastAsia="lv-LV"/>
        </w:rPr>
      </w:pPr>
      <w:r>
        <w:rPr>
          <w:rFonts w:eastAsia="Times New Roman" w:cs="Times New Roman" w:ascii="Arial" w:hAnsi="Arial"/>
          <w:b/>
          <w:bCs/>
          <w:color w:val="000000"/>
          <w:sz w:val="20"/>
          <w:szCs w:val="20"/>
          <w:lang w:eastAsia="lv-LV"/>
        </w:rPr>
      </w:r>
    </w:p>
    <w:p>
      <w:pPr>
        <w:pStyle w:val="Normal"/>
        <w:spacing w:lineRule="auto" w:line="240" w:before="0" w:after="0"/>
        <w:jc w:val="both"/>
        <w:rPr>
          <w:rFonts w:ascii="Arial" w:hAnsi="Arial"/>
        </w:rPr>
      </w:pPr>
      <w:r>
        <w:rPr>
          <w:rFonts w:ascii="Arial" w:hAnsi="Arial"/>
        </w:rPr>
        <w:drawing>
          <wp:inline distT="0" distB="0" distL="0" distR="0">
            <wp:extent cx="6191885" cy="2322195"/>
            <wp:effectExtent l="0" t="0" r="0" b="0"/>
            <wp:docPr id="5" name="Attēls 1" descr="Attēls, kurā ir teksts, skice, diagramma,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1" descr="Attēls, kurā ir teksts, skice, diagramma, rinda&#10;&#10;Mākslīgā intelekta ģenerēts saturs var būt nepareizs."/>
                    <pic:cNvPicPr>
                      <a:picLocks noChangeAspect="1" noChangeArrowheads="1"/>
                    </pic:cNvPicPr>
                  </pic:nvPicPr>
                  <pic:blipFill>
                    <a:blip r:embed="rId6"/>
                    <a:stretch>
                      <a:fillRect/>
                    </a:stretch>
                  </pic:blipFill>
                  <pic:spPr bwMode="auto">
                    <a:xfrm>
                      <a:off x="0" y="0"/>
                      <a:ext cx="6191885" cy="2322195"/>
                    </a:xfrm>
                    <a:prstGeom prst="rect">
                      <a:avLst/>
                    </a:prstGeom>
                    <a:noFill/>
                  </pic:spPr>
                </pic:pic>
              </a:graphicData>
            </a:graphic>
          </wp:inline>
        </w:drawing>
      </w:r>
    </w:p>
    <w:p>
      <w:pPr>
        <w:pStyle w:val="Normal"/>
        <w:spacing w:lineRule="auto" w:line="240" w:before="0" w:after="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jc w:val="both"/>
        <w:rPr/>
      </w:pPr>
      <w:r>
        <w:rPr>
          <w:rFonts w:eastAsia="Times New Roman" w:cs="Times New Roman" w:ascii="Arial" w:hAnsi="Arial"/>
          <w:color w:val="000000"/>
          <w:sz w:val="20"/>
          <w:szCs w:val="20"/>
          <w:lang w:eastAsia="lv-LV"/>
        </w:rPr>
        <w:t>Avots: Uzņēmumu reģistrs</w:t>
      </w:r>
    </w:p>
    <w:p>
      <w:pPr>
        <w:pStyle w:val="Normal"/>
        <w:spacing w:lineRule="auto" w:line="240" w:before="0" w:after="0"/>
        <w:jc w:val="both"/>
        <w:rPr/>
      </w:pPr>
      <w:hyperlink r:id="rId7">
        <w:r>
          <w:rPr>
            <w:rStyle w:val="Hyperlink"/>
            <w:rFonts w:eastAsia="Times New Roman" w:cs="Times New Roman" w:ascii="Arial" w:hAnsi="Arial"/>
            <w:b/>
            <w:bCs/>
            <w:sz w:val="16"/>
            <w:szCs w:val="16"/>
            <w:lang w:eastAsia="lv-LV"/>
          </w:rPr>
          <w:t>https://www.ur.gov.lv/lv/jaunumi/statistika/</w:t>
        </w:r>
      </w:hyperlink>
    </w:p>
    <w:p>
      <w:pPr>
        <w:pStyle w:val="Normal"/>
        <w:spacing w:lineRule="auto" w:line="240" w:before="0" w:after="0"/>
        <w:jc w:val="both"/>
        <w:rPr>
          <w:rFonts w:ascii="Arial" w:hAnsi="Arial" w:eastAsia="Times New Roman" w:cs="Times New Roman"/>
          <w:b/>
          <w:bCs/>
          <w:color w:val="000000"/>
          <w:sz w:val="24"/>
          <w:szCs w:val="24"/>
          <w:highlight w:val="yellow"/>
          <w:lang w:eastAsia="lv-LV"/>
        </w:rPr>
      </w:pPr>
      <w:r>
        <w:rPr>
          <w:rFonts w:eastAsia="Times New Roman" w:cs="Times New Roman" w:ascii="Arial" w:hAnsi="Arial"/>
          <w:b/>
          <w:bCs/>
          <w:color w:val="000000"/>
          <w:sz w:val="24"/>
          <w:szCs w:val="24"/>
          <w:highlight w:val="yellow"/>
          <w:lang w:eastAsia="lv-LV"/>
        </w:rPr>
      </w:r>
    </w:p>
    <w:p>
      <w:pPr>
        <w:pStyle w:val="Normal"/>
        <w:spacing w:lineRule="auto" w:line="240" w:before="0" w:after="0"/>
        <w:jc w:val="both"/>
        <w:rPr>
          <w:rFonts w:ascii="Arial" w:hAnsi="Arial"/>
        </w:rPr>
      </w:pPr>
      <w:r>
        <w:rPr>
          <w:rFonts w:eastAsia="Times New Roman" w:cs="Times New Roman" w:ascii="Arial" w:hAnsi="Arial"/>
          <w:b/>
          <w:bCs/>
          <w:color w:val="000000"/>
          <w:sz w:val="24"/>
          <w:szCs w:val="24"/>
          <w:lang w:eastAsia="lv-LV"/>
        </w:rPr>
        <w:t>Tendences un prognozes</w:t>
      </w:r>
    </w:p>
    <w:p>
      <w:pPr>
        <w:pStyle w:val="Normal"/>
        <w:spacing w:lineRule="auto" w:line="240" w:before="0" w:after="0"/>
        <w:jc w:val="both"/>
        <w:rPr>
          <w:rFonts w:ascii="Arial" w:hAnsi="Arial" w:eastAsia="Times New Roman" w:cs="Times New Roman"/>
          <w:sz w:val="24"/>
          <w:szCs w:val="24"/>
          <w:lang w:eastAsia="lv-LV"/>
        </w:rPr>
      </w:pPr>
      <w:r>
        <w:rPr>
          <w:rFonts w:eastAsia="Times New Roman" w:cs="Times New Roman" w:ascii="Arial" w:hAnsi="Arial"/>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Daudzi lielie darījumi 2025. gadā faktiski bija esošo līgumu pagarināšana ar nosacījumu, ka iznomātājs veic investīcijas BREEAM sertifikācijas paaugstināšanā vai telpu modernizācijā, bet daudzi uzņēmumi, sekojot tirgus tendencēm, meklēja iespējas samazināt savas izmaksas, nomājot mazākas platības energoefektīvas biroja telpas. Rīg</w:t>
      </w:r>
      <w:r>
        <w:rPr>
          <w:rFonts w:eastAsia="Times New Roman" w:cs="Times New Roman" w:ascii="Arial" w:hAnsi="Arial"/>
          <w:color w:val="000000"/>
          <w:sz w:val="24"/>
          <w:szCs w:val="24"/>
          <w:lang w:eastAsia="lv-LV"/>
        </w:rPr>
        <w:t>ā</w:t>
      </w:r>
      <w:r>
        <w:rPr>
          <w:rFonts w:eastAsia="Times New Roman" w:cs="Times New Roman" w:ascii="Arial" w:hAnsi="Arial"/>
          <w:color w:val="000000"/>
          <w:sz w:val="24"/>
          <w:szCs w:val="24"/>
          <w:lang w:eastAsia="lv-LV"/>
        </w:rPr>
        <w:t xml:space="preserve"> vēl joprojām saglabājās lielākais biroja telpu piedāvājums starp Baltijas valstīm, kā arī zemākās nomas maksas, kas norād</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 ka tirg</w:t>
      </w:r>
      <w:r>
        <w:rPr>
          <w:rFonts w:eastAsia="Times New Roman" w:cs="Times New Roman" w:ascii="Arial" w:hAnsi="Arial"/>
          <w:color w:val="000000"/>
          <w:sz w:val="24"/>
          <w:szCs w:val="24"/>
          <w:lang w:eastAsia="lv-LV"/>
        </w:rPr>
        <w:t>um</w:t>
      </w:r>
      <w:r>
        <w:rPr>
          <w:rFonts w:eastAsia="Times New Roman" w:cs="Times New Roman" w:ascii="Arial" w:hAnsi="Arial"/>
          <w:color w:val="000000"/>
          <w:sz w:val="24"/>
          <w:szCs w:val="24"/>
          <w:lang w:eastAsia="lv-LV"/>
        </w:rPr>
        <w:t xml:space="preserve"> ir izaugsmes iespējas</w:t>
      </w:r>
      <w:r>
        <w:rPr>
          <w:rFonts w:eastAsia="Times New Roman" w:cs="Times New Roman" w:ascii="Arial" w:hAnsi="Arial"/>
          <w:sz w:val="24"/>
          <w:szCs w:val="24"/>
          <w:lang w:eastAsia="lv-LV"/>
        </w:rPr>
        <w:t xml:space="preserve">, bet to, vai pieprasījums augs, ietekmēs daudzi ārēji faktori. </w:t>
      </w:r>
      <w:r>
        <w:rPr>
          <w:rFonts w:eastAsia="Times New Roman" w:cs="Times New Roman" w:ascii="Arial" w:hAnsi="Arial"/>
          <w:sz w:val="24"/>
          <w:szCs w:val="24"/>
          <w:lang w:eastAsia="lv-LV"/>
        </w:rPr>
        <w:t>J</w:t>
      </w:r>
      <w:r>
        <w:rPr>
          <w:rFonts w:eastAsia="Times New Roman" w:cs="Times New Roman" w:ascii="Arial" w:hAnsi="Arial"/>
          <w:sz w:val="24"/>
          <w:szCs w:val="24"/>
          <w:lang w:eastAsia="lv-LV"/>
        </w:rPr>
        <w:t xml:space="preserve">oprojām ir lielas cerības uz Krievijas un Ukrainas konflikta atrisināšanos un </w:t>
      </w:r>
      <w:r>
        <w:rPr>
          <w:rFonts w:eastAsia="Times New Roman" w:cs="Times New Roman" w:ascii="Arial" w:hAnsi="Arial"/>
          <w:sz w:val="24"/>
          <w:szCs w:val="24"/>
          <w:lang w:eastAsia="lv-LV"/>
        </w:rPr>
        <w:t xml:space="preserve">uz </w:t>
      </w:r>
      <w:r>
        <w:rPr>
          <w:rFonts w:eastAsia="Times New Roman" w:cs="Times New Roman" w:ascii="Arial" w:hAnsi="Arial"/>
          <w:sz w:val="24"/>
          <w:szCs w:val="24"/>
          <w:lang w:eastAsia="lv-LV"/>
        </w:rPr>
        <w:t>to, ka tuvākajā laikā Eirozonas izaugsme būs augstāka, kas savukārt palielinātu pirktspēju, uzņēmumu apgrozījumu un uzkrājumus. Izpildoties šiem nosacījumiem, pieprasījums pēc biroju telpām noteikti pieaugs, bet nomas maksas izmaiņas būs atkarīgas no šī pieprasījuma.</w:t>
      </w:r>
    </w:p>
    <w:p>
      <w:pPr>
        <w:pStyle w:val="Normal"/>
        <w:spacing w:lineRule="auto" w:line="240" w:before="0" w:after="0"/>
        <w:jc w:val="both"/>
        <w:rPr>
          <w:rFonts w:ascii="Arial" w:hAnsi="Arial" w:eastAsia="Times New Roman" w:cs="Times New Roman"/>
          <w:sz w:val="24"/>
          <w:szCs w:val="24"/>
          <w:highlight w:val="yellow"/>
          <w:lang w:eastAsia="lv-LV"/>
        </w:rPr>
      </w:pPr>
      <w:r>
        <w:rPr>
          <w:rFonts w:eastAsia="Times New Roman" w:cs="Times New Roman" w:ascii="Arial" w:hAnsi="Arial"/>
          <w:sz w:val="24"/>
          <w:szCs w:val="24"/>
          <w:highlight w:val="yellow"/>
          <w:lang w:eastAsia="lv-LV"/>
        </w:rPr>
      </w:r>
    </w:p>
    <w:p>
      <w:pPr>
        <w:pStyle w:val="Normal"/>
        <w:spacing w:lineRule="auto" w:line="240" w:before="0" w:after="0"/>
        <w:jc w:val="both"/>
        <w:rPr>
          <w:rFonts w:ascii="Arial" w:hAnsi="Arial"/>
        </w:rPr>
      </w:pPr>
      <w:r>
        <w:rPr>
          <w:rFonts w:eastAsia="Times New Roman" w:cs="Times New Roman" w:ascii="Arial" w:hAnsi="Arial"/>
          <w:b/>
          <w:bCs/>
          <w:color w:val="000000"/>
          <w:sz w:val="24"/>
          <w:szCs w:val="24"/>
          <w:lang w:eastAsia="lv-LV"/>
        </w:rPr>
        <w:t>Industriālo ražošanas un noliktavu telpu noma un pārdošana</w:t>
      </w:r>
    </w:p>
    <w:p>
      <w:pPr>
        <w:pStyle w:val="Normal"/>
        <w:spacing w:lineRule="auto" w:line="240" w:before="0" w:after="0"/>
        <w:jc w:val="both"/>
        <w:rPr>
          <w:rFonts w:ascii="Arial" w:hAnsi="Arial" w:eastAsia="Times New Roman" w:cs="Times New Roman"/>
          <w:b/>
          <w:bCs/>
          <w:color w:val="000000"/>
          <w:sz w:val="24"/>
          <w:szCs w:val="24"/>
          <w:highlight w:val="yellow"/>
          <w:lang w:eastAsia="lv-LV"/>
        </w:rPr>
      </w:pPr>
      <w:r>
        <w:rPr>
          <w:rFonts w:eastAsia="Times New Roman" w:cs="Times New Roman" w:ascii="Arial" w:hAnsi="Arial"/>
          <w:b/>
          <w:bCs/>
          <w:color w:val="000000"/>
          <w:sz w:val="24"/>
          <w:szCs w:val="24"/>
          <w:highlight w:val="yellow"/>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Tirgus kļuv</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 xml:space="preserve"> par "nomnieka tirgu" tajos segmentos, kur piedāvājums </w:t>
      </w:r>
      <w:r>
        <w:rPr>
          <w:rFonts w:eastAsia="Times New Roman" w:cs="Times New Roman" w:ascii="Arial" w:hAnsi="Arial"/>
          <w:color w:val="000000"/>
          <w:sz w:val="24"/>
          <w:szCs w:val="24"/>
          <w:lang w:eastAsia="lv-LV"/>
        </w:rPr>
        <w:t xml:space="preserve">bija </w:t>
      </w:r>
      <w:r>
        <w:rPr>
          <w:rFonts w:eastAsia="Times New Roman" w:cs="Times New Roman" w:ascii="Arial" w:hAnsi="Arial"/>
          <w:color w:val="000000"/>
          <w:sz w:val="24"/>
          <w:szCs w:val="24"/>
          <w:lang w:eastAsia="lv-LV"/>
        </w:rPr>
        <w:t>novecojis. 2025. gadā nomniekus spēj</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 xml:space="preserve"> piesaistīt tie īpašumi, kas </w:t>
      </w:r>
      <w:r>
        <w:rPr>
          <w:rFonts w:eastAsia="Times New Roman" w:cs="Times New Roman" w:ascii="Arial" w:hAnsi="Arial"/>
          <w:color w:val="000000"/>
          <w:sz w:val="24"/>
          <w:szCs w:val="24"/>
          <w:lang w:eastAsia="lv-LV"/>
        </w:rPr>
        <w:t>varēja</w:t>
      </w:r>
      <w:r>
        <w:rPr>
          <w:rFonts w:eastAsia="Times New Roman" w:cs="Times New Roman" w:ascii="Arial" w:hAnsi="Arial"/>
          <w:color w:val="000000"/>
          <w:sz w:val="24"/>
          <w:szCs w:val="24"/>
          <w:lang w:eastAsia="lv-LV"/>
        </w:rPr>
        <w:t xml:space="preserve"> nodrošināt prognozējamas un zemas uzturēšanas izmaksas, jo nomnieki vairs nevad</w:t>
      </w:r>
      <w:r>
        <w:rPr>
          <w:rFonts w:eastAsia="Times New Roman" w:cs="Times New Roman" w:ascii="Arial" w:hAnsi="Arial"/>
          <w:color w:val="000000"/>
          <w:sz w:val="24"/>
          <w:szCs w:val="24"/>
          <w:lang w:eastAsia="lv-LV"/>
        </w:rPr>
        <w:t>ījā</w:t>
      </w:r>
      <w:r>
        <w:rPr>
          <w:rFonts w:eastAsia="Times New Roman" w:cs="Times New Roman" w:ascii="Arial" w:hAnsi="Arial"/>
          <w:color w:val="000000"/>
          <w:sz w:val="24"/>
          <w:szCs w:val="24"/>
          <w:lang w:eastAsia="lv-LV"/>
        </w:rPr>
        <w:t>s tikai pēc zemākās nomas maksas, bet vērtē</w:t>
      </w:r>
      <w:r>
        <w:rPr>
          <w:rFonts w:eastAsia="Times New Roman" w:cs="Times New Roman" w:ascii="Arial" w:hAnsi="Arial"/>
          <w:color w:val="000000"/>
          <w:sz w:val="24"/>
          <w:szCs w:val="24"/>
          <w:lang w:eastAsia="lv-LV"/>
        </w:rPr>
        <w:t>ja</w:t>
      </w:r>
      <w:r>
        <w:rPr>
          <w:rFonts w:eastAsia="Times New Roman" w:cs="Times New Roman" w:ascii="Arial" w:hAnsi="Arial"/>
          <w:color w:val="000000"/>
          <w:sz w:val="24"/>
          <w:szCs w:val="24"/>
          <w:lang w:eastAsia="lv-LV"/>
        </w:rPr>
        <w:t xml:space="preserve"> kopējās uzturēšanas izmaksas. Postpadomju noliktavas bez renovācijas plāniem turpin</w:t>
      </w:r>
      <w:r>
        <w:rPr>
          <w:rFonts w:eastAsia="Times New Roman" w:cs="Times New Roman" w:ascii="Arial" w:hAnsi="Arial"/>
          <w:color w:val="000000"/>
          <w:sz w:val="24"/>
          <w:szCs w:val="24"/>
          <w:lang w:eastAsia="lv-LV"/>
        </w:rPr>
        <w:t>āja</w:t>
      </w:r>
      <w:r>
        <w:rPr>
          <w:rFonts w:eastAsia="Times New Roman" w:cs="Times New Roman" w:ascii="Arial" w:hAnsi="Arial"/>
          <w:color w:val="000000"/>
          <w:sz w:val="24"/>
          <w:szCs w:val="24"/>
          <w:lang w:eastAsia="lv-LV"/>
        </w:rPr>
        <w:t xml:space="preserve"> zaudēt tirgus daļu, un 2025. gada sākums iezīmē</w:t>
      </w:r>
      <w:r>
        <w:rPr>
          <w:rFonts w:eastAsia="Times New Roman" w:cs="Times New Roman" w:ascii="Arial" w:hAnsi="Arial"/>
          <w:color w:val="000000"/>
          <w:sz w:val="24"/>
          <w:szCs w:val="24"/>
          <w:lang w:eastAsia="lv-LV"/>
        </w:rPr>
        <w:t>ja</w:t>
      </w:r>
      <w:r>
        <w:rPr>
          <w:rFonts w:eastAsia="Times New Roman" w:cs="Times New Roman" w:ascii="Arial" w:hAnsi="Arial"/>
          <w:color w:val="000000"/>
          <w:sz w:val="24"/>
          <w:szCs w:val="24"/>
          <w:lang w:eastAsia="lv-LV"/>
        </w:rPr>
        <w:t xml:space="preserve"> skaidru plaisu starp dažādu klašu objektiem. Kamēr jaunie projekti, piemēram, “Sirin” un “Piche” attīstītie parki, uzrād</w:t>
      </w:r>
      <w:r>
        <w:rPr>
          <w:rFonts w:eastAsia="Times New Roman" w:cs="Times New Roman" w:ascii="Arial" w:hAnsi="Arial"/>
          <w:color w:val="000000"/>
          <w:sz w:val="24"/>
          <w:szCs w:val="24"/>
          <w:lang w:eastAsia="lv-LV"/>
        </w:rPr>
        <w:t>īja</w:t>
      </w:r>
      <w:r>
        <w:rPr>
          <w:rFonts w:eastAsia="Times New Roman" w:cs="Times New Roman" w:ascii="Arial" w:hAnsi="Arial"/>
          <w:color w:val="000000"/>
          <w:sz w:val="24"/>
          <w:szCs w:val="24"/>
          <w:lang w:eastAsia="lv-LV"/>
        </w:rPr>
        <w:t xml:space="preserve"> stabilu aizpildījumu, postpadomju ražošanas ēkas sask</w:t>
      </w:r>
      <w:r>
        <w:rPr>
          <w:rFonts w:eastAsia="Times New Roman" w:cs="Times New Roman" w:ascii="Arial" w:hAnsi="Arial"/>
          <w:color w:val="000000"/>
          <w:sz w:val="24"/>
          <w:szCs w:val="24"/>
          <w:lang w:eastAsia="lv-LV"/>
        </w:rPr>
        <w:t>ārās</w:t>
      </w:r>
      <w:r>
        <w:rPr>
          <w:rFonts w:eastAsia="Times New Roman" w:cs="Times New Roman" w:ascii="Arial" w:hAnsi="Arial"/>
          <w:color w:val="000000"/>
          <w:sz w:val="24"/>
          <w:szCs w:val="24"/>
          <w:lang w:eastAsia="lv-LV"/>
        </w:rPr>
        <w:t xml:space="preserve"> ar eksistenciālu izaicinājumu, kā rezultātā pieaug</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 xml:space="preserve"> to objektu pārdošanas piedāvājums, kuru renovācijai īpašniekiem trūk</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 xml:space="preserve"> līdzekļu.</w:t>
      </w:r>
    </w:p>
    <w:p>
      <w:pPr>
        <w:pStyle w:val="Normal"/>
        <w:spacing w:lineRule="auto" w:line="240" w:before="0" w:after="0"/>
        <w:ind w:hanging="0"/>
        <w:jc w:val="both"/>
        <w:rPr>
          <w:rFonts w:eastAsia="Times New Roman" w:cs="Times New Roman"/>
          <w:color w:val="000000"/>
          <w:sz w:val="24"/>
          <w:szCs w:val="24"/>
          <w:lang w:eastAsia="lv-LV"/>
        </w:rPr>
      </w:pPr>
      <w:r>
        <w:rPr>
          <w:rFonts w:ascii="Arial" w:hAnsi="Arial"/>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Nomnieku relo</w:t>
      </w:r>
      <w:r>
        <w:rPr>
          <w:rFonts w:eastAsia="Times New Roman" w:cs="Times New Roman" w:ascii="Arial" w:hAnsi="Arial"/>
          <w:color w:val="000000"/>
          <w:sz w:val="24"/>
          <w:szCs w:val="24"/>
          <w:lang w:eastAsia="lv-LV"/>
        </w:rPr>
        <w:t>k</w:t>
      </w:r>
      <w:r>
        <w:rPr>
          <w:rFonts w:eastAsia="Times New Roman" w:cs="Times New Roman" w:ascii="Arial" w:hAnsi="Arial"/>
          <w:color w:val="000000"/>
          <w:sz w:val="24"/>
          <w:szCs w:val="24"/>
          <w:lang w:eastAsia="lv-LV"/>
        </w:rPr>
        <w:t>ācija uz energoefektīvām telpām n</w:t>
      </w:r>
      <w:r>
        <w:rPr>
          <w:rFonts w:eastAsia="Times New Roman" w:cs="Times New Roman" w:ascii="Arial" w:hAnsi="Arial"/>
          <w:color w:val="000000"/>
          <w:sz w:val="24"/>
          <w:szCs w:val="24"/>
          <w:lang w:eastAsia="lv-LV"/>
        </w:rPr>
        <w:t xml:space="preserve">ebija </w:t>
      </w:r>
      <w:r>
        <w:rPr>
          <w:rFonts w:eastAsia="Times New Roman" w:cs="Times New Roman" w:ascii="Arial" w:hAnsi="Arial"/>
          <w:color w:val="000000"/>
          <w:sz w:val="24"/>
          <w:szCs w:val="24"/>
          <w:lang w:eastAsia="lv-LV"/>
        </w:rPr>
        <w:t xml:space="preserve">tikai komforta jautājums, bet gan stratēģisks solis izmaksu optimizācijai, reaģējot uz preču apgrozījuma kritumu un augstajām energoresursu cenām. </w:t>
      </w:r>
    </w:p>
    <w:p>
      <w:pPr>
        <w:pStyle w:val="Normal"/>
        <w:spacing w:lineRule="auto" w:line="240" w:before="0" w:after="0"/>
        <w:ind w:firstLine="720"/>
        <w:jc w:val="both"/>
        <w:rPr>
          <w:rFonts w:ascii="Arial" w:hAnsi="Arial"/>
        </w:rPr>
      </w:pPr>
      <w:r>
        <w:rPr>
          <w:rFonts w:eastAsia="Times New Roman" w:cs="Times New Roman" w:ascii="Arial" w:hAnsi="Arial"/>
          <w:color w:val="000000"/>
          <w:sz w:val="24"/>
          <w:szCs w:val="24"/>
          <w:lang w:eastAsia="lv-LV"/>
        </w:rPr>
        <w:t xml:space="preserve"> </w:t>
      </w:r>
    </w:p>
    <w:p>
      <w:pPr>
        <w:pStyle w:val="Normal"/>
        <w:spacing w:lineRule="auto" w:line="240" w:before="0" w:after="0"/>
        <w:jc w:val="both"/>
        <w:rPr>
          <w:rFonts w:ascii="Arial" w:hAnsi="Arial"/>
        </w:rPr>
      </w:pPr>
      <w:r>
        <w:rPr>
          <w:rFonts w:eastAsia="Times New Roman" w:cs="Times New Roman" w:ascii="Arial" w:hAnsi="Arial"/>
          <w:b/>
          <w:bCs/>
          <w:color w:val="000000"/>
          <w:sz w:val="24"/>
          <w:szCs w:val="24"/>
          <w:lang w:eastAsia="lv-LV"/>
        </w:rPr>
        <w:t>Piedāvājums, pieprasījums un tendences</w:t>
      </w:r>
    </w:p>
    <w:p>
      <w:pPr>
        <w:pStyle w:val="Normal"/>
        <w:spacing w:lineRule="auto" w:line="240" w:before="0" w:after="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Rīgā un </w:t>
      </w:r>
      <w:r>
        <w:rPr>
          <w:rFonts w:eastAsia="Times New Roman" w:cs="Times New Roman" w:ascii="Arial" w:hAnsi="Arial"/>
          <w:color w:val="000000"/>
          <w:sz w:val="24"/>
          <w:szCs w:val="24"/>
          <w:lang w:eastAsia="lv-LV"/>
        </w:rPr>
        <w:t xml:space="preserve">Rīgas apkārtnē </w:t>
      </w:r>
      <w:r>
        <w:rPr>
          <w:rFonts w:eastAsia="Times New Roman" w:cs="Times New Roman" w:ascii="Arial" w:hAnsi="Arial"/>
          <w:color w:val="000000"/>
          <w:sz w:val="24"/>
          <w:szCs w:val="24"/>
          <w:lang w:eastAsia="lv-LV"/>
        </w:rPr>
        <w:t xml:space="preserve">dominējošais telpu formāts 2025. gadā </w:t>
      </w:r>
      <w:r>
        <w:rPr>
          <w:rFonts w:eastAsia="Times New Roman" w:cs="Times New Roman" w:ascii="Arial" w:hAnsi="Arial"/>
          <w:color w:val="000000"/>
          <w:sz w:val="24"/>
          <w:szCs w:val="24"/>
          <w:lang w:eastAsia="lv-LV"/>
        </w:rPr>
        <w:t>bija “s</w:t>
      </w:r>
      <w:r>
        <w:rPr>
          <w:rFonts w:eastAsia="Times New Roman" w:cs="Times New Roman" w:ascii="Arial" w:hAnsi="Arial"/>
          <w:color w:val="000000"/>
          <w:sz w:val="24"/>
          <w:szCs w:val="24"/>
          <w:lang w:eastAsia="lv-LV"/>
        </w:rPr>
        <w:t xml:space="preserve">tock-office”, </w:t>
      </w:r>
      <w:r>
        <w:rPr>
          <w:rFonts w:eastAsia="Times New Roman" w:cs="Times New Roman" w:ascii="Arial" w:hAnsi="Arial"/>
          <w:color w:val="000000"/>
          <w:sz w:val="24"/>
          <w:szCs w:val="24"/>
          <w:lang w:eastAsia="lv-LV"/>
        </w:rPr>
        <w:t xml:space="preserve">kas nozīmē </w:t>
      </w:r>
      <w:r>
        <w:rPr>
          <w:rFonts w:eastAsia="Times New Roman" w:cs="Times New Roman" w:ascii="Arial" w:hAnsi="Arial"/>
          <w:color w:val="000000"/>
          <w:sz w:val="24"/>
          <w:szCs w:val="24"/>
          <w:lang w:eastAsia="lv-LV"/>
        </w:rPr>
        <w:t>biroj</w:t>
      </w:r>
      <w:r>
        <w:rPr>
          <w:rFonts w:eastAsia="Times New Roman" w:cs="Times New Roman" w:ascii="Arial" w:hAnsi="Arial"/>
          <w:color w:val="000000"/>
          <w:sz w:val="24"/>
          <w:szCs w:val="24"/>
          <w:lang w:eastAsia="lv-LV"/>
        </w:rPr>
        <w:t>u</w:t>
      </w:r>
      <w:r>
        <w:rPr>
          <w:rFonts w:eastAsia="Times New Roman" w:cs="Times New Roman" w:ascii="Arial" w:hAnsi="Arial"/>
          <w:color w:val="000000"/>
          <w:sz w:val="24"/>
          <w:szCs w:val="24"/>
          <w:lang w:eastAsia="lv-LV"/>
        </w:rPr>
        <w:t>, noliktav</w:t>
      </w:r>
      <w:r>
        <w:rPr>
          <w:rFonts w:eastAsia="Times New Roman" w:cs="Times New Roman" w:ascii="Arial" w:hAnsi="Arial"/>
          <w:color w:val="000000"/>
          <w:sz w:val="24"/>
          <w:szCs w:val="24"/>
          <w:lang w:eastAsia="lv-LV"/>
        </w:rPr>
        <w:t>u</w:t>
      </w:r>
      <w:r>
        <w:rPr>
          <w:rFonts w:eastAsia="Times New Roman" w:cs="Times New Roman" w:ascii="Arial" w:hAnsi="Arial"/>
          <w:color w:val="000000"/>
          <w:sz w:val="24"/>
          <w:szCs w:val="24"/>
          <w:lang w:eastAsia="lv-LV"/>
        </w:rPr>
        <w:t xml:space="preserve"> un tirdzniecības zāl</w:t>
      </w:r>
      <w:r>
        <w:rPr>
          <w:rFonts w:eastAsia="Times New Roman" w:cs="Times New Roman" w:ascii="Arial" w:hAnsi="Arial"/>
          <w:color w:val="000000"/>
          <w:sz w:val="24"/>
          <w:szCs w:val="24"/>
          <w:lang w:eastAsia="lv-LV"/>
        </w:rPr>
        <w:t>i</w:t>
      </w:r>
      <w:r>
        <w:rPr>
          <w:rFonts w:eastAsia="Times New Roman" w:cs="Times New Roman" w:ascii="Arial" w:hAnsi="Arial"/>
          <w:color w:val="000000"/>
          <w:sz w:val="24"/>
          <w:szCs w:val="24"/>
          <w:lang w:eastAsia="lv-LV"/>
        </w:rPr>
        <w:t xml:space="preserve"> vienuviet. Vidējā plānotā vienība (400</w:t>
      </w:r>
      <w:r>
        <w:rPr>
          <w:rFonts w:eastAsia="Times New Roman" w:cs="Times New Roman" w:ascii="Arial" w:hAnsi="Arial"/>
          <w:color w:val="000000"/>
          <w:sz w:val="24"/>
          <w:szCs w:val="24"/>
          <w:lang w:eastAsia="lv-LV"/>
        </w:rPr>
        <w:t>-</w:t>
      </w:r>
      <w:r>
        <w:rPr>
          <w:rFonts w:eastAsia="Times New Roman" w:cs="Times New Roman" w:ascii="Arial" w:hAnsi="Arial"/>
          <w:color w:val="000000"/>
          <w:sz w:val="24"/>
          <w:szCs w:val="24"/>
          <w:lang w:eastAsia="lv-LV"/>
        </w:rPr>
        <w:t>500 m²) perfekti atbil</w:t>
      </w:r>
      <w:r>
        <w:rPr>
          <w:rFonts w:eastAsia="Times New Roman" w:cs="Times New Roman" w:ascii="Arial" w:hAnsi="Arial"/>
          <w:color w:val="000000"/>
          <w:sz w:val="24"/>
          <w:szCs w:val="24"/>
          <w:lang w:eastAsia="lv-LV"/>
        </w:rPr>
        <w:t>da</w:t>
      </w:r>
      <w:r>
        <w:rPr>
          <w:rFonts w:eastAsia="Times New Roman" w:cs="Times New Roman" w:ascii="Arial" w:hAnsi="Arial"/>
          <w:color w:val="000000"/>
          <w:sz w:val="24"/>
          <w:szCs w:val="24"/>
          <w:lang w:eastAsia="lv-LV"/>
        </w:rPr>
        <w:t xml:space="preserve"> vidējo uzņēmumu prasībām pēc multifunkcionalitātes, kas ļauj efektīvāk pārvaldīt darbinieku resursus un loģistikas procesus. Šis process “attīr</w:t>
      </w:r>
      <w:r>
        <w:rPr>
          <w:rFonts w:eastAsia="Times New Roman" w:cs="Times New Roman" w:ascii="Arial" w:hAnsi="Arial"/>
          <w:color w:val="000000"/>
          <w:sz w:val="24"/>
          <w:szCs w:val="24"/>
          <w:lang w:eastAsia="lv-LV"/>
        </w:rPr>
        <w:t>īja”</w:t>
      </w:r>
      <w:r>
        <w:rPr>
          <w:rFonts w:eastAsia="Times New Roman" w:cs="Times New Roman" w:ascii="Arial" w:hAnsi="Arial"/>
          <w:color w:val="000000"/>
          <w:sz w:val="24"/>
          <w:szCs w:val="24"/>
          <w:lang w:eastAsia="lv-LV"/>
        </w:rPr>
        <w:t xml:space="preserve"> tirgu, ļaujot jauniem investoriem iegādāties teritorijas ar mērķi tās pilnībā pārveidot, tajā pat laikā laikā tirgū saglabāj</w:t>
      </w:r>
      <w:r>
        <w:rPr>
          <w:rFonts w:eastAsia="Times New Roman" w:cs="Times New Roman" w:ascii="Arial" w:hAnsi="Arial"/>
          <w:color w:val="000000"/>
          <w:sz w:val="24"/>
          <w:szCs w:val="24"/>
          <w:lang w:eastAsia="lv-LV"/>
        </w:rPr>
        <w:t>ā</w:t>
      </w:r>
      <w:r>
        <w:rPr>
          <w:rFonts w:eastAsia="Times New Roman" w:cs="Times New Roman" w:ascii="Arial" w:hAnsi="Arial"/>
          <w:color w:val="000000"/>
          <w:sz w:val="24"/>
          <w:szCs w:val="24"/>
          <w:lang w:eastAsia="lv-LV"/>
        </w:rPr>
        <w:t>s akūts deficīts pēc:</w:t>
      </w:r>
    </w:p>
    <w:p>
      <w:pPr>
        <w:pStyle w:val="Normal"/>
        <w:spacing w:lineRule="auto" w:line="240" w:before="0" w:after="0"/>
        <w:ind w:hanging="0"/>
        <w:jc w:val="both"/>
        <w:rPr>
          <w:rFonts w:eastAsia="Times New Roman" w:cs="Times New Roman"/>
          <w:color w:val="000000"/>
          <w:sz w:val="24"/>
          <w:szCs w:val="24"/>
          <w:lang w:eastAsia="lv-LV"/>
        </w:rPr>
      </w:pPr>
      <w:r>
        <w:rPr>
          <w:rFonts w:ascii="Arial" w:hAnsi="Arial"/>
        </w:rPr>
      </w:r>
    </w:p>
    <w:p>
      <w:pPr>
        <w:pStyle w:val="Normal"/>
        <w:numPr>
          <w:ilvl w:val="0"/>
          <w:numId w:val="2"/>
        </w:numPr>
        <w:spacing w:lineRule="auto" w:line="240" w:before="0" w:after="0"/>
        <w:jc w:val="both"/>
        <w:rPr/>
      </w:pPr>
      <w:r>
        <w:rPr>
          <w:rFonts w:eastAsia="Times New Roman" w:cs="Times New Roman" w:ascii="Arial" w:hAnsi="Arial"/>
          <w:color w:val="000000"/>
          <w:sz w:val="24"/>
          <w:szCs w:val="24"/>
          <w:lang w:eastAsia="lv-LV"/>
        </w:rPr>
        <w:t>m</w:t>
      </w:r>
      <w:r>
        <w:rPr>
          <w:rFonts w:eastAsia="Times New Roman" w:ascii="Arial" w:hAnsi="Arial"/>
          <w:color w:val="000000"/>
          <w:sz w:val="24"/>
          <w:szCs w:val="24"/>
          <w:lang w:eastAsia="lv-LV"/>
        </w:rPr>
        <w:t xml:space="preserve">aza mēroga brīvstāvošām ēkām (1000-2000 m²). </w:t>
      </w:r>
      <w:r>
        <w:rPr>
          <w:rFonts w:eastAsia="Times New Roman" w:ascii="Arial" w:hAnsi="Arial"/>
          <w:color w:val="000000"/>
          <w:sz w:val="24"/>
          <w:szCs w:val="24"/>
          <w:lang w:eastAsia="lv-LV"/>
        </w:rPr>
        <w:t>U</w:t>
      </w:r>
      <w:r>
        <w:rPr>
          <w:rFonts w:eastAsia="Times New Roman" w:ascii="Arial" w:hAnsi="Arial"/>
          <w:color w:val="000000"/>
          <w:sz w:val="24"/>
          <w:szCs w:val="24"/>
          <w:lang w:eastAsia="lv-LV"/>
        </w:rPr>
        <w:t>zņēmumi, kas vēl</w:t>
      </w:r>
      <w:r>
        <w:rPr>
          <w:rFonts w:eastAsia="Times New Roman" w:ascii="Arial" w:hAnsi="Arial"/>
          <w:color w:val="000000"/>
          <w:sz w:val="24"/>
          <w:szCs w:val="24"/>
          <w:lang w:eastAsia="lv-LV"/>
        </w:rPr>
        <w:t>ējās</w:t>
      </w:r>
      <w:r>
        <w:rPr>
          <w:rFonts w:eastAsia="Times New Roman" w:ascii="Arial" w:hAnsi="Arial"/>
          <w:color w:val="000000"/>
          <w:sz w:val="24"/>
          <w:szCs w:val="24"/>
          <w:lang w:eastAsia="lv-LV"/>
        </w:rPr>
        <w:t xml:space="preserve"> iegādāties, nevis nomāt telpas savām vajadzībām, sask</w:t>
      </w:r>
      <w:r>
        <w:rPr>
          <w:rFonts w:eastAsia="Times New Roman" w:ascii="Arial" w:hAnsi="Arial"/>
          <w:color w:val="000000"/>
          <w:sz w:val="24"/>
          <w:szCs w:val="24"/>
          <w:lang w:eastAsia="lv-LV"/>
        </w:rPr>
        <w:t>ārās</w:t>
      </w:r>
      <w:r>
        <w:rPr>
          <w:rFonts w:eastAsia="Times New Roman" w:ascii="Arial" w:hAnsi="Arial"/>
          <w:color w:val="000000"/>
          <w:sz w:val="24"/>
          <w:szCs w:val="24"/>
          <w:lang w:eastAsia="lv-LV"/>
        </w:rPr>
        <w:t xml:space="preserve"> ar ļoti ierobežotu piedāvājumu;</w:t>
      </w:r>
    </w:p>
    <w:p>
      <w:pPr>
        <w:pStyle w:val="Normal"/>
        <w:numPr>
          <w:ilvl w:val="0"/>
          <w:numId w:val="2"/>
        </w:numPr>
        <w:spacing w:lineRule="auto" w:line="240" w:before="0" w:after="0"/>
        <w:jc w:val="both"/>
        <w:rPr/>
      </w:pPr>
      <w:r>
        <w:rPr>
          <w:rFonts w:eastAsia="Times New Roman" w:ascii="Arial" w:hAnsi="Arial"/>
          <w:color w:val="000000"/>
          <w:sz w:val="24"/>
          <w:szCs w:val="24"/>
          <w:lang w:eastAsia="lv-LV"/>
        </w:rPr>
        <w:t>z</w:t>
      </w:r>
      <w:r>
        <w:rPr>
          <w:rFonts w:eastAsia="Times New Roman" w:ascii="Arial" w:hAnsi="Arial"/>
          <w:color w:val="000000"/>
          <w:sz w:val="24"/>
          <w:szCs w:val="24"/>
          <w:lang w:eastAsia="lv-LV"/>
        </w:rPr>
        <w:t xml:space="preserve">emes gabaliem ar gatavu infrastruktūru. </w:t>
      </w:r>
      <w:r>
        <w:rPr>
          <w:rFonts w:eastAsia="Times New Roman" w:ascii="Arial" w:hAnsi="Arial"/>
          <w:color w:val="000000"/>
          <w:sz w:val="24"/>
          <w:szCs w:val="24"/>
          <w:lang w:eastAsia="lv-LV"/>
        </w:rPr>
        <w:t xml:space="preserve">Rīgas apkārtnē </w:t>
      </w:r>
      <w:r>
        <w:rPr>
          <w:rFonts w:eastAsia="Times New Roman" w:cs="Times New Roman" w:ascii="Arial" w:hAnsi="Arial"/>
          <w:color w:val="000000"/>
          <w:sz w:val="24"/>
          <w:szCs w:val="24"/>
          <w:lang w:eastAsia="lv-LV"/>
        </w:rPr>
        <w:t xml:space="preserve">pieprasītākie </w:t>
      </w:r>
      <w:r>
        <w:rPr>
          <w:rFonts w:eastAsia="Times New Roman" w:cs="Times New Roman" w:ascii="Arial" w:hAnsi="Arial"/>
          <w:color w:val="000000"/>
          <w:sz w:val="24"/>
          <w:szCs w:val="24"/>
          <w:lang w:eastAsia="lv-LV"/>
        </w:rPr>
        <w:t>bija</w:t>
      </w:r>
      <w:r>
        <w:rPr>
          <w:rFonts w:eastAsia="Times New Roman" w:cs="Times New Roman" w:ascii="Arial" w:hAnsi="Arial"/>
          <w:color w:val="000000"/>
          <w:sz w:val="24"/>
          <w:szCs w:val="24"/>
          <w:lang w:eastAsia="lv-LV"/>
        </w:rPr>
        <w:t xml:space="preserve"> zemes gabali, kur jau </w:t>
      </w:r>
      <w:r>
        <w:rPr>
          <w:rFonts w:eastAsia="Times New Roman" w:cs="Times New Roman" w:ascii="Arial" w:hAnsi="Arial"/>
          <w:color w:val="000000"/>
          <w:sz w:val="24"/>
          <w:szCs w:val="24"/>
          <w:lang w:eastAsia="lv-LV"/>
        </w:rPr>
        <w:t>bija</w:t>
      </w:r>
      <w:r>
        <w:rPr>
          <w:rFonts w:eastAsia="Times New Roman" w:cs="Times New Roman" w:ascii="Arial" w:hAnsi="Arial"/>
          <w:color w:val="000000"/>
          <w:sz w:val="24"/>
          <w:szCs w:val="24"/>
          <w:lang w:eastAsia="lv-LV"/>
        </w:rPr>
        <w:t xml:space="preserve"> izbūvētas komunikācijas, jo tas ļ</w:t>
      </w:r>
      <w:r>
        <w:rPr>
          <w:rFonts w:eastAsia="Times New Roman" w:cs="Times New Roman" w:ascii="Arial" w:hAnsi="Arial"/>
          <w:color w:val="000000"/>
          <w:sz w:val="24"/>
          <w:szCs w:val="24"/>
          <w:lang w:eastAsia="lv-LV"/>
        </w:rPr>
        <w:t>āva</w:t>
      </w:r>
      <w:r>
        <w:rPr>
          <w:rFonts w:eastAsia="Times New Roman" w:cs="Times New Roman" w:ascii="Arial" w:hAnsi="Arial"/>
          <w:color w:val="000000"/>
          <w:sz w:val="24"/>
          <w:szCs w:val="24"/>
          <w:lang w:eastAsia="lv-LV"/>
        </w:rPr>
        <w:t xml:space="preserve"> uzsākt būvniecību bez ilga saskaņošanas procesa.</w:t>
      </w:r>
    </w:p>
    <w:p>
      <w:pPr>
        <w:pStyle w:val="Normal"/>
        <w:spacing w:lineRule="auto" w:line="240" w:before="0" w:after="0"/>
        <w:ind w:firstLine="72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Lai gan lokālā aktivitāte </w:t>
      </w:r>
      <w:r>
        <w:rPr>
          <w:rFonts w:eastAsia="Times New Roman" w:cs="Times New Roman" w:ascii="Arial" w:hAnsi="Arial"/>
          <w:color w:val="000000"/>
          <w:sz w:val="24"/>
          <w:szCs w:val="24"/>
          <w:lang w:eastAsia="lv-LV"/>
        </w:rPr>
        <w:t xml:space="preserve">bija </w:t>
      </w:r>
      <w:r>
        <w:rPr>
          <w:rFonts w:eastAsia="Times New Roman" w:cs="Times New Roman" w:ascii="Arial" w:hAnsi="Arial"/>
          <w:color w:val="000000"/>
          <w:sz w:val="24"/>
          <w:szCs w:val="24"/>
          <w:lang w:eastAsia="lv-LV"/>
        </w:rPr>
        <w:t>augsta, Baltijas mērogā Latvija sask</w:t>
      </w:r>
      <w:r>
        <w:rPr>
          <w:rFonts w:eastAsia="Times New Roman" w:cs="Times New Roman" w:ascii="Arial" w:hAnsi="Arial"/>
          <w:color w:val="000000"/>
          <w:sz w:val="24"/>
          <w:szCs w:val="24"/>
          <w:lang w:eastAsia="lv-LV"/>
        </w:rPr>
        <w:t>ārās</w:t>
      </w:r>
      <w:r>
        <w:rPr>
          <w:rFonts w:eastAsia="Times New Roman" w:cs="Times New Roman" w:ascii="Arial" w:hAnsi="Arial"/>
          <w:color w:val="000000"/>
          <w:sz w:val="24"/>
          <w:szCs w:val="24"/>
          <w:lang w:eastAsia="lv-LV"/>
        </w:rPr>
        <w:t xml:space="preserve"> ar sīvu konkurenci par starptautiskajām investīcijām. Lietuva un Polija šobrīd piesaista lielāku institucionālā kapitāla plūsmu, pateicoties straujākai industriālajai izaugsmei un plašākam valsts atbalsta mehānismu klāstam. Tas liek vietējiem iznomātājiem būt elastīgākiem un piedāvāt "tailor-made" (klientam pielāgotus) risinājumus, lai noturētu spēcīgākos nomniekus.</w:t>
      </w:r>
    </w:p>
    <w:p>
      <w:pPr>
        <w:pStyle w:val="Normal"/>
        <w:spacing w:lineRule="auto" w:line="240" w:before="0" w:after="0"/>
        <w:jc w:val="both"/>
        <w:rPr>
          <w:rFonts w:ascii="Arial" w:hAnsi="Arial" w:eastAsia="Times New Roman" w:cs="Times New Roman"/>
          <w:b/>
          <w:bCs/>
          <w:color w:val="000000"/>
          <w:sz w:val="24"/>
          <w:szCs w:val="24"/>
          <w:highlight w:val="yellow"/>
          <w:lang w:eastAsia="lv-LV"/>
        </w:rPr>
      </w:pPr>
      <w:r>
        <w:rPr>
          <w:rFonts w:eastAsia="Times New Roman" w:cs="Times New Roman" w:ascii="Arial" w:hAnsi="Arial"/>
          <w:b/>
          <w:bCs/>
          <w:color w:val="000000"/>
          <w:sz w:val="24"/>
          <w:szCs w:val="24"/>
          <w:highlight w:val="yellow"/>
          <w:lang w:eastAsia="lv-LV"/>
        </w:rPr>
      </w:r>
    </w:p>
    <w:p>
      <w:pPr>
        <w:pStyle w:val="Normal"/>
        <w:spacing w:lineRule="auto" w:line="240" w:before="0" w:after="160"/>
        <w:jc w:val="both"/>
        <w:rPr>
          <w:rFonts w:ascii="Arial" w:hAnsi="Arial"/>
        </w:rPr>
      </w:pPr>
      <w:r>
        <w:rPr>
          <w:rFonts w:eastAsia="Times New Roman" w:cs="Times New Roman" w:ascii="Arial" w:hAnsi="Arial"/>
          <w:b/>
          <w:color w:val="000000"/>
          <w:sz w:val="24"/>
          <w:szCs w:val="24"/>
          <w:lang w:eastAsia="lv-LV"/>
        </w:rPr>
        <w:t xml:space="preserve">Pieprasījuma pēc industriālo telpu lieluma </w:t>
      </w:r>
      <w:r>
        <w:rPr>
          <w:rFonts w:eastAsia="Times New Roman" w:cs="Times New Roman" w:ascii="Arial" w:hAnsi="Arial"/>
          <w:b/>
          <w:color w:val="000000"/>
          <w:sz w:val="24"/>
          <w:szCs w:val="24"/>
          <w:lang w:eastAsia="lv-LV"/>
        </w:rPr>
        <w:t xml:space="preserve">struktūra </w:t>
      </w:r>
      <w:r>
        <w:rPr>
          <w:rFonts w:eastAsia="Times New Roman" w:cs="Times New Roman" w:ascii="Arial" w:hAnsi="Arial"/>
          <w:b/>
          <w:color w:val="000000"/>
          <w:sz w:val="24"/>
          <w:szCs w:val="24"/>
          <w:lang w:eastAsia="lv-LV"/>
        </w:rPr>
        <w:t>2025. gadā, %</w:t>
      </w:r>
    </w:p>
    <w:p>
      <w:pPr>
        <w:pStyle w:val="Normal"/>
        <w:spacing w:lineRule="auto" w:line="240"/>
        <w:jc w:val="both"/>
        <w:rPr>
          <w:rFonts w:ascii="Arial" w:hAnsi="Arial"/>
        </w:rPr>
      </w:pPr>
      <w:r>
        <w:rPr>
          <w:rFonts w:ascii="Arial" w:hAnsi="Arial"/>
        </w:rPr>
        <w:drawing>
          <wp:inline distT="0" distB="0" distL="0" distR="0">
            <wp:extent cx="6038850" cy="2543810"/>
            <wp:effectExtent l="0" t="0" r="0" b="0"/>
            <wp:docPr id="6" name="Object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240"/>
        <w:jc w:val="both"/>
        <w:rPr>
          <w:rFonts w:ascii="Arial" w:hAnsi="Arial"/>
        </w:rPr>
      </w:pPr>
      <w:r>
        <w:rPr>
          <w:rFonts w:eastAsia="Times New Roman" w:cs="Times New Roman" w:ascii="Arial" w:hAnsi="Arial"/>
          <w:b/>
          <w:bCs/>
          <w:color w:val="000000"/>
          <w:sz w:val="24"/>
          <w:szCs w:val="24"/>
          <w:lang w:eastAsia="lv-LV"/>
        </w:rPr>
        <w:t>Nomas maksa</w:t>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Industriālo telpu nomas maksa bija bez būtiskām izmaiņām, </w:t>
      </w:r>
      <w:r>
        <w:rPr>
          <w:rFonts w:eastAsia="Times New Roman" w:cs="Times New Roman" w:ascii="Arial" w:hAnsi="Arial"/>
          <w:color w:val="000000"/>
          <w:sz w:val="24"/>
          <w:szCs w:val="24"/>
          <w:lang w:eastAsia="lv-LV"/>
        </w:rPr>
        <w:t xml:space="preserve">salīdzinot ar </w:t>
      </w:r>
      <w:r>
        <w:rPr>
          <w:rFonts w:eastAsia="Times New Roman" w:cs="Times New Roman" w:ascii="Arial" w:hAnsi="Arial"/>
          <w:color w:val="000000"/>
          <w:sz w:val="24"/>
          <w:szCs w:val="24"/>
          <w:lang w:eastAsia="lv-LV"/>
        </w:rPr>
        <w:t xml:space="preserve">2024. gadu, ar nelielu nomas maksas pieaugumu un nelielu starpību starp Rīgas un </w:t>
      </w:r>
      <w:r>
        <w:rPr>
          <w:rFonts w:eastAsia="Times New Roman" w:cs="Times New Roman" w:ascii="Arial" w:hAnsi="Arial"/>
          <w:color w:val="000000"/>
          <w:sz w:val="24"/>
          <w:szCs w:val="24"/>
          <w:lang w:eastAsia="lv-LV"/>
        </w:rPr>
        <w:t xml:space="preserve">Rīgas apkārtnes </w:t>
      </w:r>
      <w:r>
        <w:rPr>
          <w:rFonts w:eastAsia="Times New Roman" w:cs="Times New Roman" w:ascii="Arial" w:hAnsi="Arial"/>
          <w:color w:val="000000"/>
          <w:sz w:val="24"/>
          <w:szCs w:val="24"/>
          <w:lang w:eastAsia="lv-LV"/>
        </w:rPr>
        <w:t xml:space="preserve">as industriālajām telpām. Vidējā nomas maksa 2025. gadā bija </w:t>
      </w:r>
      <w:r>
        <w:rPr>
          <w:rFonts w:eastAsia="Times New Roman" w:cs="Times New Roman" w:ascii="Arial" w:hAnsi="Arial"/>
          <w:color w:val="000000"/>
          <w:sz w:val="24"/>
          <w:szCs w:val="24"/>
          <w:lang w:eastAsia="lv-LV"/>
        </w:rPr>
        <w:t xml:space="preserve">no </w:t>
      </w:r>
      <w:r>
        <w:rPr>
          <w:rFonts w:eastAsia="Times New Roman" w:cs="Times New Roman" w:ascii="Arial" w:hAnsi="Arial"/>
          <w:color w:val="000000"/>
          <w:sz w:val="24"/>
          <w:szCs w:val="24"/>
          <w:lang w:eastAsia="lv-LV"/>
        </w:rPr>
        <w:t xml:space="preserve">5,40 </w:t>
      </w:r>
      <w:r>
        <w:rPr>
          <w:rFonts w:eastAsia="Times New Roman" w:cs="Times New Roman" w:ascii="Arial" w:hAnsi="Arial"/>
          <w:color w:val="000000"/>
          <w:sz w:val="24"/>
          <w:szCs w:val="24"/>
          <w:lang w:eastAsia="lv-LV"/>
        </w:rPr>
        <w:t xml:space="preserve">līdz </w:t>
      </w:r>
      <w:r>
        <w:rPr>
          <w:rFonts w:eastAsia="Times New Roman" w:cs="Times New Roman" w:ascii="Arial" w:hAnsi="Arial"/>
          <w:color w:val="000000"/>
          <w:sz w:val="24"/>
          <w:szCs w:val="24"/>
          <w:lang w:eastAsia="lv-LV"/>
        </w:rPr>
        <w:t>6,00 E</w:t>
      </w:r>
      <w:r>
        <w:rPr>
          <w:rFonts w:eastAsia="Times New Roman" w:cs="Times New Roman" w:ascii="Arial" w:hAnsi="Arial"/>
          <w:color w:val="000000"/>
          <w:sz w:val="24"/>
          <w:szCs w:val="24"/>
          <w:lang w:eastAsia="lv-LV"/>
        </w:rPr>
        <w:t>UR</w:t>
      </w:r>
      <w:r>
        <w:rPr>
          <w:rFonts w:eastAsia="Times New Roman" w:cs="Times New Roman" w:ascii="Arial" w:hAnsi="Arial"/>
          <w:color w:val="000000"/>
          <w:sz w:val="24"/>
          <w:szCs w:val="24"/>
          <w:lang w:eastAsia="lv-LV"/>
        </w:rPr>
        <w:t>/m², bet “stock office” telpām līdz pat 7,50 E</w:t>
      </w:r>
      <w:r>
        <w:rPr>
          <w:rFonts w:eastAsia="Times New Roman" w:cs="Times New Roman" w:ascii="Arial" w:hAnsi="Arial"/>
          <w:color w:val="000000"/>
          <w:sz w:val="24"/>
          <w:szCs w:val="24"/>
          <w:lang w:eastAsia="lv-LV"/>
        </w:rPr>
        <w:t>UE</w:t>
      </w:r>
      <w:r>
        <w:rPr>
          <w:rFonts w:eastAsia="Times New Roman" w:cs="Times New Roman" w:ascii="Arial" w:hAnsi="Arial"/>
          <w:color w:val="000000"/>
          <w:sz w:val="24"/>
          <w:szCs w:val="24"/>
          <w:lang w:eastAsia="lv-LV"/>
        </w:rPr>
        <w:t>/m². Renovētām telpām Rīg</w:t>
      </w:r>
      <w:r>
        <w:rPr>
          <w:rFonts w:eastAsia="Times New Roman" w:cs="Times New Roman" w:ascii="Arial" w:hAnsi="Arial"/>
          <w:color w:val="000000"/>
          <w:sz w:val="24"/>
          <w:szCs w:val="24"/>
          <w:lang w:eastAsia="lv-LV"/>
        </w:rPr>
        <w:t>ā</w:t>
      </w:r>
      <w:r>
        <w:rPr>
          <w:rFonts w:eastAsia="Times New Roman" w:cs="Times New Roman" w:ascii="Arial" w:hAnsi="Arial"/>
          <w:color w:val="000000"/>
          <w:sz w:val="24"/>
          <w:szCs w:val="24"/>
          <w:lang w:eastAsia="lv-LV"/>
        </w:rPr>
        <w:t xml:space="preserve"> un </w:t>
      </w:r>
      <w:r>
        <w:rPr>
          <w:rFonts w:eastAsia="Times New Roman" w:cs="Times New Roman" w:ascii="Arial" w:hAnsi="Arial"/>
          <w:color w:val="000000"/>
          <w:sz w:val="24"/>
          <w:szCs w:val="24"/>
          <w:lang w:eastAsia="lv-LV"/>
        </w:rPr>
        <w:t xml:space="preserve">tās </w:t>
      </w:r>
      <w:r>
        <w:rPr>
          <w:rFonts w:eastAsia="Times New Roman" w:cs="Times New Roman" w:ascii="Arial" w:hAnsi="Arial"/>
          <w:color w:val="000000"/>
          <w:sz w:val="24"/>
          <w:szCs w:val="24"/>
          <w:lang w:eastAsia="lv-LV"/>
        </w:rPr>
        <w:t>apkārtnē nomas maksa svārstījās no 4 līdz 5 E</w:t>
      </w:r>
      <w:r>
        <w:rPr>
          <w:rFonts w:eastAsia="Times New Roman" w:cs="Times New Roman" w:ascii="Arial" w:hAnsi="Arial"/>
          <w:color w:val="000000"/>
          <w:sz w:val="24"/>
          <w:szCs w:val="24"/>
          <w:lang w:eastAsia="lv-LV"/>
        </w:rPr>
        <w:t>UR</w:t>
      </w:r>
      <w:r>
        <w:rPr>
          <w:rFonts w:eastAsia="Times New Roman" w:cs="Times New Roman" w:ascii="Arial" w:hAnsi="Arial"/>
          <w:color w:val="000000"/>
          <w:sz w:val="24"/>
          <w:szCs w:val="24"/>
          <w:lang w:eastAsia="lv-LV"/>
        </w:rPr>
        <w:t>/m², savukārt nolietotām un mūsdienu prasībām neatbilstošām telpām nomas maksa bija 3,5-4 E</w:t>
      </w:r>
      <w:r>
        <w:rPr>
          <w:rFonts w:eastAsia="Times New Roman" w:cs="Times New Roman" w:ascii="Arial" w:hAnsi="Arial"/>
          <w:color w:val="000000"/>
          <w:sz w:val="24"/>
          <w:szCs w:val="24"/>
          <w:lang w:eastAsia="lv-LV"/>
        </w:rPr>
        <w:t>UE</w:t>
      </w:r>
      <w:r>
        <w:rPr>
          <w:rFonts w:eastAsia="Times New Roman" w:cs="Times New Roman" w:ascii="Arial" w:hAnsi="Arial"/>
          <w:color w:val="000000"/>
          <w:sz w:val="24"/>
          <w:szCs w:val="24"/>
          <w:lang w:eastAsia="lv-LV"/>
        </w:rPr>
        <w:t xml:space="preserve">/m² </w:t>
      </w:r>
      <w:r>
        <w:rPr>
          <w:rFonts w:eastAsia="Times New Roman" w:cs="Times New Roman" w:ascii="Arial" w:hAnsi="Arial"/>
          <w:color w:val="000000"/>
          <w:sz w:val="24"/>
          <w:szCs w:val="24"/>
          <w:lang w:eastAsia="lv-LV"/>
        </w:rPr>
        <w:t>robežās</w:t>
      </w:r>
      <w:r>
        <w:rPr>
          <w:rFonts w:eastAsia="Times New Roman" w:cs="Times New Roman" w:ascii="Arial" w:hAnsi="Arial"/>
          <w:color w:val="000000"/>
          <w:sz w:val="24"/>
          <w:szCs w:val="24"/>
          <w:lang w:eastAsia="lv-LV"/>
        </w:rPr>
        <w:t>.</w:t>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 </w:t>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Reģionos jaunu projektu būvniecība vai ēku rekonstrukcija lielos industriālos īpašumos tika novērota salīdzinoši maz un pārsvarā uzņēmumi to veica savām vajadzībām, nevis nomas tirgum. Nomas piedāvājumi pārsvarā bija pilsētās ar ērtām loģistikas iespējām un piekļuvi ostas vai dzelzceļu infrastruktūrai. Nomas maksa reģionos svārstījās no 1 </w:t>
      </w:r>
      <w:r>
        <w:rPr>
          <w:rFonts w:eastAsia="Times New Roman" w:cs="Times New Roman" w:ascii="Arial" w:hAnsi="Arial"/>
          <w:color w:val="000000"/>
          <w:sz w:val="24"/>
          <w:szCs w:val="24"/>
          <w:lang w:eastAsia="lv-LV"/>
        </w:rPr>
        <w:t xml:space="preserve">līdz </w:t>
      </w:r>
      <w:r>
        <w:rPr>
          <w:rFonts w:eastAsia="Times New Roman" w:cs="Times New Roman" w:ascii="Arial" w:hAnsi="Arial"/>
          <w:color w:val="000000"/>
          <w:sz w:val="24"/>
          <w:szCs w:val="24"/>
          <w:lang w:eastAsia="lv-LV"/>
        </w:rPr>
        <w:t>1,50 E</w:t>
      </w:r>
      <w:r>
        <w:rPr>
          <w:rFonts w:eastAsia="Times New Roman" w:cs="Times New Roman" w:ascii="Arial" w:hAnsi="Arial"/>
          <w:color w:val="000000"/>
          <w:sz w:val="24"/>
          <w:szCs w:val="24"/>
          <w:lang w:eastAsia="lv-LV"/>
        </w:rPr>
        <w:t>UR</w:t>
      </w:r>
      <w:r>
        <w:rPr>
          <w:rFonts w:eastAsia="Times New Roman" w:cs="Times New Roman" w:ascii="Arial" w:hAnsi="Arial"/>
          <w:color w:val="000000"/>
          <w:sz w:val="24"/>
          <w:szCs w:val="24"/>
          <w:lang w:eastAsia="lv-LV"/>
        </w:rPr>
        <w:t xml:space="preserve">/m² par postpadomju telpām līdz pat 3,5 un 4,5 </w:t>
      </w:r>
      <w:r>
        <w:rPr>
          <w:rFonts w:eastAsia="Times New Roman" w:cs="Times New Roman" w:ascii="Arial" w:hAnsi="Arial"/>
          <w:color w:val="000000"/>
          <w:sz w:val="24"/>
          <w:szCs w:val="24"/>
          <w:lang w:eastAsia="lv-LV"/>
        </w:rPr>
        <w:t>EUR</w:t>
      </w:r>
      <w:r>
        <w:rPr>
          <w:rFonts w:eastAsia="Times New Roman" w:cs="Times New Roman" w:ascii="Arial" w:hAnsi="Arial"/>
          <w:color w:val="000000"/>
          <w:sz w:val="24"/>
          <w:szCs w:val="24"/>
          <w:lang w:eastAsia="lv-LV"/>
        </w:rPr>
        <w:t xml:space="preserve">/m² par telpām </w:t>
      </w:r>
      <w:r>
        <w:rPr>
          <w:rFonts w:eastAsia="Times New Roman" w:cs="Times New Roman" w:ascii="Arial" w:hAnsi="Arial"/>
          <w:color w:val="000000"/>
          <w:sz w:val="24"/>
          <w:szCs w:val="24"/>
          <w:lang w:eastAsia="lv-LV"/>
        </w:rPr>
        <w:t>j</w:t>
      </w:r>
      <w:r>
        <w:rPr>
          <w:rFonts w:eastAsia="Times New Roman" w:cs="Times New Roman" w:ascii="Arial" w:hAnsi="Arial"/>
          <w:color w:val="000000"/>
          <w:sz w:val="24"/>
          <w:szCs w:val="24"/>
          <w:lang w:eastAsia="lv-LV"/>
        </w:rPr>
        <w:t xml:space="preserve">aunajos SEZ parkos. </w:t>
      </w:r>
    </w:p>
    <w:p>
      <w:pPr>
        <w:pStyle w:val="Normal"/>
        <w:spacing w:lineRule="auto" w:line="240" w:before="0" w:after="0"/>
        <w:jc w:val="both"/>
        <w:rPr>
          <w:rFonts w:ascii="Arial" w:hAnsi="Arial" w:eastAsia="Times New Roman" w:cs="Times New Roman"/>
          <w:sz w:val="24"/>
          <w:szCs w:val="24"/>
          <w:lang w:eastAsia="lv-LV"/>
        </w:rPr>
      </w:pPr>
      <w:r>
        <w:rPr>
          <w:rFonts w:eastAsia="Times New Roman" w:cs="Times New Roman" w:ascii="Arial" w:hAnsi="Arial"/>
          <w:sz w:val="24"/>
          <w:szCs w:val="24"/>
          <w:lang w:eastAsia="lv-LV"/>
        </w:rPr>
      </w:r>
    </w:p>
    <w:p>
      <w:pPr>
        <w:pStyle w:val="Normal"/>
        <w:spacing w:lineRule="auto" w:line="240"/>
        <w:jc w:val="both"/>
        <w:rPr>
          <w:rFonts w:ascii="Arial" w:hAnsi="Arial"/>
        </w:rPr>
      </w:pPr>
      <w:r>
        <w:rPr>
          <w:rFonts w:eastAsia="Times New Roman" w:cs="Times New Roman" w:ascii="Arial" w:hAnsi="Arial"/>
          <w:b/>
          <w:bCs/>
          <w:color w:val="000000"/>
          <w:sz w:val="24"/>
          <w:szCs w:val="24"/>
          <w:lang w:eastAsia="lv-LV"/>
        </w:rPr>
        <w:t>Brīvo telpu īpatsvars</w:t>
      </w:r>
    </w:p>
    <w:p>
      <w:pPr>
        <w:pStyle w:val="Normal"/>
        <w:spacing w:lineRule="auto" w:line="240" w:before="0" w:after="0"/>
        <w:ind w:hanging="0"/>
        <w:jc w:val="both"/>
        <w:rPr>
          <w:rFonts w:eastAsia="Times New Roman" w:cs="Times New Roman"/>
          <w:color w:val="000000"/>
          <w:sz w:val="24"/>
          <w:szCs w:val="24"/>
          <w:lang w:eastAsia="lv-LV"/>
        </w:rPr>
      </w:pPr>
      <w:r>
        <w:rPr>
          <w:rFonts w:ascii="Arial" w:hAnsi="Arial"/>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Brīvo telpu piedāvājums tirgū pieau</w:t>
      </w:r>
      <w:r>
        <w:rPr>
          <w:rFonts w:eastAsia="Times New Roman" w:cs="Times New Roman" w:ascii="Arial" w:hAnsi="Arial"/>
          <w:color w:val="000000"/>
          <w:sz w:val="24"/>
          <w:szCs w:val="24"/>
          <w:lang w:eastAsia="lv-LV"/>
        </w:rPr>
        <w:t>ga</w:t>
      </w:r>
      <w:r>
        <w:rPr>
          <w:rFonts w:eastAsia="Times New Roman" w:cs="Times New Roman" w:ascii="Arial" w:hAnsi="Arial"/>
          <w:color w:val="000000"/>
          <w:sz w:val="24"/>
          <w:szCs w:val="24"/>
          <w:lang w:eastAsia="lv-LV"/>
        </w:rPr>
        <w:t xml:space="preserve"> gan Latvijā, gan Eirozonas valstīs. </w:t>
      </w:r>
      <w:r>
        <w:rPr>
          <w:rFonts w:eastAsia="Times New Roman" w:cs="Times New Roman" w:ascii="Arial" w:hAnsi="Arial"/>
          <w:color w:val="000000"/>
          <w:sz w:val="24"/>
          <w:szCs w:val="24"/>
          <w:lang w:eastAsia="lv-LV"/>
        </w:rPr>
        <w:t xml:space="preserve">Šo pieaugumu </w:t>
      </w:r>
      <w:r>
        <w:rPr>
          <w:rFonts w:eastAsia="Times New Roman" w:cs="Times New Roman" w:ascii="Arial" w:hAnsi="Arial"/>
          <w:color w:val="000000"/>
          <w:sz w:val="24"/>
          <w:szCs w:val="24"/>
          <w:lang w:eastAsia="lv-LV"/>
        </w:rPr>
        <w:t>noteikti ietekmēj</w:t>
      </w:r>
      <w:r>
        <w:rPr>
          <w:rFonts w:eastAsia="Times New Roman" w:cs="Times New Roman" w:ascii="Arial" w:hAnsi="Arial"/>
          <w:color w:val="000000"/>
          <w:sz w:val="24"/>
          <w:szCs w:val="24"/>
          <w:lang w:eastAsia="lv-LV"/>
        </w:rPr>
        <w:t>a</w:t>
      </w:r>
      <w:r>
        <w:rPr>
          <w:rFonts w:eastAsia="Times New Roman" w:cs="Times New Roman" w:ascii="Arial" w:hAnsi="Arial"/>
          <w:color w:val="000000"/>
          <w:sz w:val="24"/>
          <w:szCs w:val="24"/>
          <w:lang w:eastAsia="lv-LV"/>
        </w:rPr>
        <w:t xml:space="preserve"> ASV neparedzamā ārpolitika un tirdzniecības kari, ko tā aizsākusi, piemērojot tarifus vairākām sadarbības valstīm. Novērojams </w:t>
      </w:r>
      <w:r>
        <w:rPr>
          <w:rFonts w:eastAsia="Times New Roman" w:cs="Times New Roman" w:ascii="Arial" w:hAnsi="Arial"/>
          <w:color w:val="000000"/>
          <w:sz w:val="24"/>
          <w:szCs w:val="24"/>
          <w:lang w:eastAsia="lv-LV"/>
        </w:rPr>
        <w:t>arī</w:t>
      </w:r>
      <w:r>
        <w:rPr>
          <w:rFonts w:eastAsia="Times New Roman" w:cs="Times New Roman" w:ascii="Arial" w:hAnsi="Arial"/>
          <w:color w:val="000000"/>
          <w:sz w:val="24"/>
          <w:szCs w:val="24"/>
          <w:lang w:eastAsia="lv-LV"/>
        </w:rPr>
        <w:t xml:space="preserve"> tas, ka Eiropa pēc ilgstošas dīkstāves pievērsusies aizsardzības un militārās rūpniecības virzienam, kas nedaudz uzlabo</w:t>
      </w:r>
      <w:r>
        <w:rPr>
          <w:rFonts w:eastAsia="Times New Roman" w:cs="Times New Roman" w:ascii="Arial" w:hAnsi="Arial"/>
          <w:color w:val="000000"/>
          <w:sz w:val="24"/>
          <w:szCs w:val="24"/>
          <w:lang w:eastAsia="lv-LV"/>
        </w:rPr>
        <w:t>ja</w:t>
      </w:r>
      <w:r>
        <w:rPr>
          <w:rFonts w:eastAsia="Times New Roman" w:cs="Times New Roman" w:ascii="Arial" w:hAnsi="Arial"/>
          <w:color w:val="000000"/>
          <w:sz w:val="24"/>
          <w:szCs w:val="24"/>
          <w:lang w:eastAsia="lv-LV"/>
        </w:rPr>
        <w:t xml:space="preserve"> situāciju pēc atbilstošu telpu pieprasījuma, </w:t>
      </w:r>
      <w:r>
        <w:rPr>
          <w:rFonts w:eastAsia="Times New Roman" w:cs="Times New Roman" w:ascii="Arial" w:hAnsi="Arial"/>
          <w:color w:val="000000"/>
          <w:sz w:val="24"/>
          <w:szCs w:val="24"/>
          <w:lang w:eastAsia="lv-LV"/>
        </w:rPr>
        <w:t xml:space="preserve">parādoties </w:t>
      </w:r>
      <w:r>
        <w:rPr>
          <w:rFonts w:eastAsia="Times New Roman" w:cs="Times New Roman" w:ascii="Arial" w:hAnsi="Arial"/>
          <w:color w:val="000000"/>
          <w:sz w:val="24"/>
          <w:szCs w:val="24"/>
          <w:lang w:eastAsia="lv-LV"/>
        </w:rPr>
        <w:t>arvien jauni</w:t>
      </w:r>
      <w:r>
        <w:rPr>
          <w:rFonts w:eastAsia="Times New Roman" w:cs="Times New Roman" w:ascii="Arial" w:hAnsi="Arial"/>
          <w:color w:val="000000"/>
          <w:sz w:val="24"/>
          <w:szCs w:val="24"/>
          <w:lang w:eastAsia="lv-LV"/>
        </w:rPr>
        <w:t>em</w:t>
      </w:r>
      <w:r>
        <w:rPr>
          <w:rFonts w:eastAsia="Times New Roman" w:cs="Times New Roman" w:ascii="Arial" w:hAnsi="Arial"/>
          <w:color w:val="000000"/>
          <w:sz w:val="24"/>
          <w:szCs w:val="24"/>
          <w:lang w:eastAsia="lv-LV"/>
        </w:rPr>
        <w:t xml:space="preserve"> uzņēmumi</w:t>
      </w:r>
      <w:r>
        <w:rPr>
          <w:rFonts w:eastAsia="Times New Roman" w:cs="Times New Roman" w:ascii="Arial" w:hAnsi="Arial"/>
          <w:color w:val="000000"/>
          <w:sz w:val="24"/>
          <w:szCs w:val="24"/>
          <w:lang w:eastAsia="lv-LV"/>
        </w:rPr>
        <w:t>em</w:t>
      </w:r>
      <w:r>
        <w:rPr>
          <w:rFonts w:eastAsia="Times New Roman" w:cs="Times New Roman" w:ascii="Arial" w:hAnsi="Arial"/>
          <w:color w:val="000000"/>
          <w:sz w:val="24"/>
          <w:szCs w:val="24"/>
          <w:lang w:eastAsia="lv-LV"/>
        </w:rPr>
        <w:t xml:space="preserve">, kas kā galveno uzņēmējdarbības virzienu redz tieši militāro rūpniecību. </w:t>
      </w:r>
    </w:p>
    <w:p>
      <w:pPr>
        <w:pStyle w:val="Normal"/>
        <w:spacing w:lineRule="auto" w:line="240" w:before="0" w:after="0"/>
        <w:ind w:firstLine="72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Brīvo telpu piedāvājums pārsvarā pieauga nerenovētām telpām, kas saistīts ar augstām uzturēšanas izmaksām, jo uzņēmumi meklēja energoefektīvākas telpas ar zemākām uzturēšanas izmaksām. Telpu piedāvājums pieauga arī ekonomisku apsvērumu dēļ, jo uzņēmumi, kas iepriekšējos gados nodarbojās ar eksportu uz kaimiņvalstīm – Krieviju un Baltkrieviju –, nespēja pārorientēties uz jauniem tirgiem, </w:t>
      </w:r>
      <w:r>
        <w:rPr>
          <w:rFonts w:eastAsia="Times New Roman" w:cs="Times New Roman" w:ascii="Arial" w:hAnsi="Arial"/>
          <w:color w:val="000000"/>
          <w:sz w:val="24"/>
          <w:szCs w:val="24"/>
          <w:lang w:eastAsia="lv-LV"/>
        </w:rPr>
        <w:t>tā kā turpināt eksportu uz minētajām valstīm ierobežo</w:t>
      </w:r>
      <w:r>
        <w:rPr>
          <w:rFonts w:eastAsia="Times New Roman" w:cs="Times New Roman" w:ascii="Arial" w:hAnsi="Arial"/>
          <w:color w:val="000000"/>
          <w:sz w:val="24"/>
          <w:szCs w:val="24"/>
          <w:lang w:eastAsia="lv-LV"/>
        </w:rPr>
        <w:t>ja</w:t>
      </w:r>
      <w:r>
        <w:rPr>
          <w:rFonts w:eastAsia="Times New Roman" w:cs="Times New Roman" w:ascii="Arial" w:hAnsi="Arial"/>
          <w:color w:val="000000"/>
          <w:sz w:val="24"/>
          <w:szCs w:val="24"/>
          <w:lang w:eastAsia="lv-LV"/>
        </w:rPr>
        <w:t xml:space="preserve"> noteiktās sankcijas. </w:t>
      </w:r>
      <w:r>
        <w:rPr>
          <w:rFonts w:eastAsia="Times New Roman" w:cs="Times New Roman" w:ascii="Arial" w:hAnsi="Arial"/>
          <w:color w:val="000000"/>
          <w:sz w:val="24"/>
          <w:szCs w:val="24"/>
          <w:lang w:eastAsia="lv-LV"/>
        </w:rPr>
        <w:t xml:space="preserve"> </w:t>
      </w:r>
    </w:p>
    <w:p>
      <w:pPr>
        <w:pStyle w:val="Normal"/>
        <w:spacing w:lineRule="auto" w:line="240" w:before="0" w:after="0"/>
        <w:ind w:firstLine="720"/>
        <w:jc w:val="both"/>
        <w:rPr>
          <w:rFonts w:ascii="Arial" w:hAnsi="Arial" w:eastAsia="Times New Roman" w:cs="Times New Roman"/>
          <w:color w:val="000000"/>
          <w:sz w:val="24"/>
          <w:szCs w:val="24"/>
          <w:lang w:eastAsia="lv-LV"/>
        </w:rPr>
      </w:pPr>
      <w:r>
        <w:rPr>
          <w:rFonts w:eastAsia="Times New Roman" w:cs="Times New Roman" w:ascii="Arial" w:hAnsi="Arial"/>
          <w:color w:val="000000"/>
          <w:sz w:val="24"/>
          <w:szCs w:val="24"/>
          <w:lang w:eastAsia="lv-LV"/>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Sarežģītāk kļuva nomniekus piesaistīt mazāka mēroga projektiem, jo vājas ekonomikas </w:t>
      </w:r>
      <w:r>
        <w:rPr>
          <w:rFonts w:eastAsia="Times New Roman" w:cs="Times New Roman" w:ascii="Arial" w:hAnsi="Arial"/>
          <w:color w:val="000000"/>
          <w:sz w:val="24"/>
          <w:szCs w:val="24"/>
          <w:lang w:eastAsia="lv-LV"/>
        </w:rPr>
        <w:t xml:space="preserve">apstākļos </w:t>
      </w:r>
      <w:r>
        <w:rPr>
          <w:rFonts w:eastAsia="Times New Roman" w:cs="Times New Roman" w:ascii="Arial" w:hAnsi="Arial"/>
          <w:color w:val="000000"/>
          <w:sz w:val="24"/>
          <w:szCs w:val="24"/>
          <w:lang w:eastAsia="lv-LV"/>
        </w:rPr>
        <w:t xml:space="preserve">uzņēmumi ar mazāku apgrozījumu jaunas telpas atļauties nevarēja finansiālu apsvērumu dēļ. Atkarībā no novietojuma Rīgā un </w:t>
      </w:r>
      <w:r>
        <w:rPr>
          <w:rFonts w:eastAsia="Times New Roman" w:cs="Times New Roman" w:ascii="Arial" w:hAnsi="Arial"/>
          <w:color w:val="000000"/>
          <w:sz w:val="24"/>
          <w:szCs w:val="24"/>
          <w:lang w:eastAsia="lv-LV"/>
        </w:rPr>
        <w:t>Rīgas apkārtnē</w:t>
      </w:r>
      <w:r>
        <w:rPr>
          <w:rFonts w:eastAsia="Times New Roman" w:cs="Times New Roman" w:ascii="Arial" w:hAnsi="Arial"/>
          <w:color w:val="000000"/>
          <w:sz w:val="24"/>
          <w:szCs w:val="24"/>
          <w:lang w:eastAsia="lv-LV"/>
        </w:rPr>
        <w:t xml:space="preserve"> brīvo telpu īpatsvars bija novērojams vidēji 5-7 % jaunām telpām</w:t>
      </w:r>
      <w:r>
        <w:rPr>
          <w:rFonts w:eastAsia="Times New Roman" w:cs="Times New Roman" w:ascii="Arial" w:hAnsi="Arial"/>
          <w:color w:val="000000"/>
          <w:sz w:val="24"/>
          <w:szCs w:val="24"/>
          <w:lang w:eastAsia="lv-LV"/>
        </w:rPr>
        <w:t xml:space="preserve"> un </w:t>
      </w:r>
      <w:r>
        <w:rPr>
          <w:rFonts w:eastAsia="Times New Roman" w:cs="Times New Roman" w:ascii="Arial" w:hAnsi="Arial"/>
          <w:color w:val="000000"/>
          <w:sz w:val="24"/>
          <w:szCs w:val="24"/>
          <w:lang w:eastAsia="lv-LV"/>
        </w:rPr>
        <w:t xml:space="preserve">ap 20 % </w:t>
      </w:r>
      <w:r>
        <w:rPr>
          <w:rFonts w:eastAsia="Times New Roman" w:cs="Times New Roman" w:ascii="Arial" w:hAnsi="Arial"/>
          <w:color w:val="000000"/>
          <w:sz w:val="24"/>
          <w:szCs w:val="24"/>
          <w:lang w:eastAsia="lv-LV"/>
        </w:rPr>
        <w:t>renovētām telpām</w:t>
      </w:r>
      <w:r>
        <w:rPr>
          <w:rFonts w:eastAsia="Times New Roman" w:cs="Times New Roman" w:ascii="Arial" w:hAnsi="Arial"/>
          <w:color w:val="000000"/>
          <w:sz w:val="24"/>
          <w:szCs w:val="24"/>
          <w:lang w:eastAsia="lv-LV"/>
        </w:rPr>
        <w:t>.</w:t>
      </w:r>
    </w:p>
    <w:p>
      <w:pPr>
        <w:pStyle w:val="Normal"/>
        <w:spacing w:lineRule="auto" w:line="240" w:before="0" w:after="0"/>
        <w:ind w:hanging="0"/>
        <w:jc w:val="both"/>
        <w:rPr>
          <w:rFonts w:eastAsia="Times New Roman" w:cs="Times New Roman"/>
          <w:b/>
          <w:color w:val="000000"/>
          <w:sz w:val="24"/>
          <w:szCs w:val="24"/>
          <w:lang w:eastAsia="lv-LV"/>
        </w:rPr>
      </w:pPr>
      <w:r>
        <w:rPr>
          <w:rFonts w:ascii="Arial" w:hAnsi="Arial"/>
        </w:rPr>
      </w:r>
    </w:p>
    <w:p>
      <w:pPr>
        <w:pStyle w:val="Normal"/>
        <w:spacing w:lineRule="auto" w:line="240" w:before="0" w:after="0"/>
        <w:ind w:hanging="0"/>
        <w:jc w:val="both"/>
        <w:rPr>
          <w:rFonts w:ascii="Arial" w:hAnsi="Arial"/>
        </w:rPr>
      </w:pPr>
      <w:r>
        <w:rPr>
          <w:rFonts w:eastAsia="Times New Roman" w:cs="Times New Roman" w:ascii="Arial" w:hAnsi="Arial"/>
          <w:b/>
          <w:color w:val="000000"/>
          <w:sz w:val="24"/>
          <w:szCs w:val="24"/>
          <w:lang w:eastAsia="lv-LV"/>
        </w:rPr>
        <w:t>I</w:t>
      </w:r>
      <w:r>
        <w:rPr>
          <w:rFonts w:eastAsia="Times New Roman" w:cs="Times New Roman" w:ascii="Arial" w:hAnsi="Arial"/>
          <w:b/>
          <w:color w:val="000000"/>
          <w:sz w:val="24"/>
          <w:szCs w:val="24"/>
          <w:lang w:eastAsia="lv-LV"/>
        </w:rPr>
        <w:t>ndustriālo telpu platību aizpildījums, %</w:t>
      </w:r>
    </w:p>
    <w:p>
      <w:pPr>
        <w:pStyle w:val="Normal"/>
        <w:spacing w:lineRule="auto" w:line="240" w:before="0" w:after="0"/>
        <w:ind w:hanging="0"/>
        <w:jc w:val="both"/>
        <w:rPr>
          <w:rFonts w:eastAsia="Times New Roman" w:cs="Times New Roman"/>
          <w:b/>
          <w:color w:val="000000"/>
          <w:sz w:val="24"/>
          <w:szCs w:val="24"/>
          <w:lang w:eastAsia="lv-LV"/>
        </w:rPr>
      </w:pPr>
      <w:r>
        <w:rPr>
          <w:rFonts w:ascii="Arial" w:hAnsi="Arial"/>
        </w:rPr>
      </w:r>
    </w:p>
    <w:p>
      <w:pPr>
        <w:pStyle w:val="Normal"/>
        <w:spacing w:lineRule="auto" w:line="240"/>
        <w:jc w:val="both"/>
        <w:rPr>
          <w:rFonts w:ascii="Arial" w:hAnsi="Arial"/>
        </w:rPr>
      </w:pPr>
      <w:r>
        <w:rPr>
          <w:rFonts w:ascii="Arial" w:hAnsi="Arial"/>
        </w:rPr>
        <w:drawing>
          <wp:inline distT="0" distB="0" distL="0" distR="0">
            <wp:extent cx="6343650" cy="2971800"/>
            <wp:effectExtent l="0" t="0" r="0" b="0"/>
            <wp:docPr id="7" name="Object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spacing w:lineRule="auto" w:line="240"/>
        <w:jc w:val="both"/>
        <w:rPr>
          <w:rFonts w:eastAsia="Times New Roman" w:cs="Times New Roman"/>
          <w:b/>
          <w:bCs/>
          <w:color w:val="000000"/>
          <w:sz w:val="24"/>
          <w:szCs w:val="24"/>
          <w:lang w:eastAsia="lv-LV"/>
        </w:rPr>
      </w:pPr>
      <w:r>
        <w:rPr>
          <w:rFonts w:ascii="Arial" w:hAnsi="Arial"/>
        </w:rPr>
      </w:r>
    </w:p>
    <w:p>
      <w:pPr>
        <w:pStyle w:val="Normal"/>
        <w:spacing w:lineRule="auto" w:line="240"/>
        <w:jc w:val="both"/>
        <w:rPr>
          <w:rFonts w:ascii="Arial" w:hAnsi="Arial"/>
        </w:rPr>
      </w:pPr>
      <w:r>
        <w:rPr>
          <w:rFonts w:eastAsia="Times New Roman" w:cs="Times New Roman" w:ascii="Arial" w:hAnsi="Arial"/>
          <w:b/>
          <w:bCs/>
          <w:color w:val="000000"/>
          <w:sz w:val="24"/>
          <w:szCs w:val="24"/>
          <w:lang w:eastAsia="lv-LV"/>
        </w:rPr>
        <w:t>Prognozes</w:t>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 xml:space="preserve">2025. gadā jaunas, energoefektīvas telpas tirgū nonāca mazāk nekā iepriekšējos gados, bet nākotne </w:t>
      </w:r>
      <w:r>
        <w:rPr>
          <w:rFonts w:eastAsia="Times New Roman" w:cs="Times New Roman" w:ascii="Arial" w:hAnsi="Arial"/>
          <w:color w:val="000000"/>
          <w:sz w:val="24"/>
          <w:szCs w:val="24"/>
          <w:lang w:eastAsia="lv-LV"/>
        </w:rPr>
        <w:t>rādās</w:t>
      </w:r>
      <w:r>
        <w:rPr>
          <w:rFonts w:eastAsia="Times New Roman" w:cs="Times New Roman" w:ascii="Arial" w:hAnsi="Arial"/>
          <w:color w:val="000000"/>
          <w:sz w:val="24"/>
          <w:szCs w:val="24"/>
          <w:lang w:eastAsia="lv-LV"/>
        </w:rPr>
        <w:t xml:space="preserve"> nedaudz optimistiskāka:</w:t>
      </w:r>
      <w:r>
        <w:rPr>
          <w:rFonts w:eastAsia="Times New Roman" w:cs="Times New Roman" w:ascii="Arial" w:hAnsi="Arial"/>
          <w:color w:val="000000"/>
          <w:sz w:val="24"/>
          <w:szCs w:val="24"/>
          <w:lang w:eastAsia="lv-LV"/>
        </w:rPr>
        <w:t xml:space="preserve"> </w:t>
      </w:r>
      <w:r>
        <w:rPr>
          <w:rFonts w:eastAsia="Times New Roman" w:cs="Times New Roman" w:ascii="Arial" w:hAnsi="Arial"/>
          <w:color w:val="000000"/>
          <w:sz w:val="24"/>
          <w:szCs w:val="24"/>
          <w:lang w:eastAsia="lv-LV"/>
        </w:rPr>
        <w:t>2026. gads, izskatās, būs</w:t>
      </w:r>
      <w:r>
        <w:rPr>
          <w:rFonts w:eastAsia="Times New Roman" w:cs="Times New Roman" w:ascii="Arial" w:hAnsi="Arial"/>
          <w:b/>
          <w:bCs/>
          <w:color w:val="000000"/>
          <w:sz w:val="24"/>
          <w:szCs w:val="24"/>
          <w:lang w:eastAsia="lv-LV"/>
        </w:rPr>
        <w:t xml:space="preserve"> </w:t>
      </w:r>
      <w:r>
        <w:rPr>
          <w:rFonts w:eastAsia="Times New Roman" w:cs="Times New Roman" w:ascii="Arial" w:hAnsi="Arial"/>
          <w:color w:val="000000"/>
          <w:sz w:val="24"/>
          <w:szCs w:val="24"/>
          <w:lang w:eastAsia="lv-LV"/>
        </w:rPr>
        <w:t>ar būtisku jaunu industriālo telpu papildinājumu tirgū, ta</w:t>
      </w:r>
      <w:r>
        <w:rPr>
          <w:rFonts w:eastAsia="Times New Roman" w:cs="Times New Roman" w:ascii="Arial" w:hAnsi="Arial"/>
          <w:color w:val="000000"/>
          <w:sz w:val="24"/>
          <w:szCs w:val="24"/>
          <w:lang w:eastAsia="lv-LV"/>
        </w:rPr>
        <w:t>jā</w:t>
      </w:r>
      <w:r>
        <w:rPr>
          <w:rFonts w:eastAsia="Times New Roman" w:cs="Times New Roman" w:ascii="Arial" w:hAnsi="Arial"/>
          <w:color w:val="000000"/>
          <w:sz w:val="24"/>
          <w:szCs w:val="24"/>
          <w:lang w:eastAsia="lv-LV"/>
        </w:rPr>
        <w:t xml:space="preserve"> skaitā tiks pabeigti vairāki jauni “</w:t>
      </w:r>
      <w:r>
        <w:rPr>
          <w:rFonts w:eastAsia="Times New Roman" w:cs="Times New Roman" w:ascii="Arial" w:hAnsi="Arial"/>
          <w:color w:val="000000"/>
          <w:sz w:val="24"/>
          <w:szCs w:val="24"/>
          <w:lang w:eastAsia="lv-LV"/>
        </w:rPr>
        <w:t>s</w:t>
      </w:r>
      <w:r>
        <w:rPr>
          <w:rFonts w:eastAsia="Times New Roman" w:cs="Times New Roman" w:ascii="Arial" w:hAnsi="Arial"/>
          <w:color w:val="000000"/>
          <w:sz w:val="24"/>
          <w:szCs w:val="24"/>
          <w:lang w:eastAsia="lv-LV"/>
        </w:rPr>
        <w:t>tock-office”</w:t>
      </w:r>
      <w:r>
        <w:rPr>
          <w:rFonts w:eastAsia="Times New Roman" w:cs="Times New Roman" w:ascii="Arial" w:hAnsi="Arial"/>
          <w:b/>
          <w:bCs/>
          <w:color w:val="000000"/>
          <w:sz w:val="24"/>
          <w:szCs w:val="24"/>
          <w:lang w:eastAsia="lv-LV"/>
        </w:rPr>
        <w:t xml:space="preserve"> </w:t>
      </w:r>
      <w:r>
        <w:rPr>
          <w:rFonts w:eastAsia="Times New Roman" w:cs="Times New Roman" w:ascii="Arial" w:hAnsi="Arial"/>
          <w:color w:val="000000"/>
          <w:sz w:val="24"/>
          <w:szCs w:val="24"/>
          <w:lang w:eastAsia="lv-LV"/>
        </w:rPr>
        <w:t xml:space="preserve">projekti, jo pieprasījums pēc multifunkcionālām telpām (noliktava, birojs </w:t>
      </w:r>
      <w:r>
        <w:rPr>
          <w:rFonts w:eastAsia="Times New Roman" w:cs="Times New Roman" w:ascii="Arial" w:hAnsi="Arial"/>
          <w:color w:val="000000"/>
          <w:sz w:val="24"/>
          <w:szCs w:val="24"/>
          <w:lang w:eastAsia="lv-LV"/>
        </w:rPr>
        <w:t xml:space="preserve">un </w:t>
      </w:r>
      <w:r>
        <w:rPr>
          <w:rFonts w:eastAsia="Times New Roman" w:cs="Times New Roman" w:ascii="Arial" w:hAnsi="Arial"/>
          <w:color w:val="000000"/>
          <w:sz w:val="24"/>
          <w:szCs w:val="24"/>
          <w:lang w:eastAsia="lv-LV"/>
        </w:rPr>
        <w:t xml:space="preserve">veikals </w:t>
      </w:r>
      <w:r>
        <w:rPr>
          <w:rFonts w:eastAsia="Times New Roman" w:cs="Times New Roman" w:ascii="Arial" w:hAnsi="Arial"/>
          <w:color w:val="000000"/>
          <w:sz w:val="24"/>
          <w:szCs w:val="24"/>
          <w:lang w:eastAsia="lv-LV"/>
        </w:rPr>
        <w:t>vienuviet</w:t>
      </w:r>
      <w:r>
        <w:rPr>
          <w:rFonts w:eastAsia="Times New Roman" w:cs="Times New Roman" w:ascii="Arial" w:hAnsi="Arial"/>
          <w:color w:val="000000"/>
          <w:sz w:val="24"/>
          <w:szCs w:val="24"/>
          <w:lang w:eastAsia="lv-LV"/>
        </w:rPr>
        <w:t>) vēl joprojām saglabājas augsts, jo uzņēmumi tiecas pēc maksimālas operacionālās efektivitātes.</w:t>
      </w:r>
    </w:p>
    <w:p>
      <w:pPr>
        <w:pStyle w:val="Normal"/>
        <w:spacing w:lineRule="auto" w:line="240" w:before="0" w:after="0"/>
        <w:ind w:hanging="0"/>
        <w:jc w:val="both"/>
        <w:rPr>
          <w:rFonts w:eastAsia="Times New Roman" w:cs="Times New Roman"/>
          <w:color w:val="000000"/>
          <w:sz w:val="24"/>
          <w:szCs w:val="24"/>
          <w:lang w:eastAsia="lv-LV"/>
        </w:rPr>
      </w:pPr>
      <w:r>
        <w:rPr>
          <w:rFonts w:ascii="Arial" w:hAnsi="Arial"/>
        </w:rPr>
      </w:r>
    </w:p>
    <w:p>
      <w:pPr>
        <w:pStyle w:val="Normal"/>
        <w:spacing w:lineRule="auto" w:line="240" w:before="0" w:after="0"/>
        <w:ind w:hanging="0"/>
        <w:jc w:val="both"/>
        <w:rPr>
          <w:rFonts w:ascii="Arial" w:hAnsi="Arial"/>
        </w:rPr>
      </w:pPr>
      <w:r>
        <w:rPr>
          <w:rFonts w:eastAsia="Times New Roman" w:cs="Times New Roman" w:ascii="Arial" w:hAnsi="Arial"/>
          <w:color w:val="000000"/>
          <w:sz w:val="24"/>
          <w:szCs w:val="24"/>
          <w:lang w:eastAsia="lv-LV"/>
        </w:rPr>
        <w:t>Nākotne izskatās pozitīvāka augstākas energoefektivitātes klases telpām, jo pieaug pieprasījums pēc ilgtspējīgām ēkām, kurām ir mazāka ietekme uz vidi. Investori bieži vien iegūst arī no šādu ēku tālāk pārdošanas, jo to vērtība ilgtermiņā saglabājas labāk. Grūtāk klāsies nerenovēt</w:t>
      </w:r>
      <w:r>
        <w:rPr>
          <w:rFonts w:eastAsia="Times New Roman" w:cs="Times New Roman" w:ascii="Arial" w:hAnsi="Arial"/>
          <w:color w:val="000000"/>
          <w:sz w:val="24"/>
          <w:szCs w:val="24"/>
          <w:lang w:eastAsia="lv-LV"/>
        </w:rPr>
        <w:t>ām</w:t>
      </w:r>
      <w:r>
        <w:rPr>
          <w:rFonts w:eastAsia="Times New Roman" w:cs="Times New Roman" w:ascii="Arial" w:hAnsi="Arial"/>
          <w:color w:val="000000"/>
          <w:sz w:val="24"/>
          <w:szCs w:val="24"/>
          <w:lang w:eastAsia="lv-LV"/>
        </w:rPr>
        <w:t xml:space="preserve"> industriālajām platībām, kur nepieciešama renovācija, lai sasniegtu augstāku energoefektivitāti. </w:t>
      </w:r>
      <w:r>
        <w:rPr>
          <w:rFonts w:eastAsia="Times New Roman" w:cs="Times New Roman" w:ascii="Arial" w:hAnsi="Arial"/>
          <w:color w:val="000000"/>
          <w:sz w:val="24"/>
          <w:szCs w:val="24"/>
          <w:lang w:eastAsia="lv-LV"/>
        </w:rPr>
        <w:t>J</w:t>
      </w:r>
      <w:r>
        <w:rPr>
          <w:rFonts w:eastAsia="Times New Roman" w:cs="Times New Roman" w:ascii="Arial" w:hAnsi="Arial"/>
          <w:color w:val="000000"/>
          <w:sz w:val="24"/>
          <w:szCs w:val="24"/>
          <w:lang w:eastAsia="lv-LV"/>
        </w:rPr>
        <w:t>a šo platību īpašnieki nespēs piesaistīt līdzekļus renovācijai, šādas platības turpinās zaudēt nomniekus, kā arī ilgtermiņā zaudēs savu vērtību, jo, izvērtējot šādu īpašumu iegādi, tiks ņemta vērā ne tikai naudas plūsma, bet arī nepieciešamie ieguldījumi renovācijai, kas būtiski ietekmēs piedāvātās iegādes cenas. Tas, vai īpašnieki šos īpašumus pārdos, būs atkarīgs no tā, cik ilgi viņi spēs noturēt pašpietiekamu naudas plūsmu, nerenovējot šos īpašumus.</w:t>
      </w:r>
    </w:p>
    <w:p>
      <w:pPr>
        <w:pStyle w:val="Normal"/>
        <w:spacing w:lineRule="auto" w:line="240" w:before="0" w:after="0"/>
        <w:ind w:firstLine="720"/>
        <w:jc w:val="both"/>
        <w:rPr>
          <w:rFonts w:ascii="Arial" w:hAnsi="Arial" w:eastAsia="Times New Roman" w:cs="Arial"/>
          <w:b/>
          <w:bCs/>
          <w:color w:val="000000"/>
          <w:highlight w:val="yellow"/>
          <w:lang w:eastAsia="lv-LV"/>
        </w:rPr>
      </w:pPr>
      <w:r>
        <w:rPr>
          <w:rFonts w:eastAsia="Times New Roman" w:cs="Arial" w:ascii="Arial" w:hAnsi="Arial"/>
          <w:b/>
          <w:bCs/>
          <w:color w:val="000000"/>
          <w:highlight w:val="yellow"/>
          <w:lang w:eastAsia="lv-LV"/>
        </w:rPr>
      </w:r>
    </w:p>
    <w:p>
      <w:pPr>
        <w:pStyle w:val="Normal"/>
        <w:spacing w:lineRule="auto" w:line="240"/>
        <w:jc w:val="both"/>
        <w:rPr>
          <w:rFonts w:ascii="Arial" w:hAnsi="Arial"/>
        </w:rPr>
      </w:pPr>
      <w:r>
        <w:rPr>
          <w:rFonts w:eastAsia="Times New Roman" w:cs="Times New Roman" w:ascii="Arial" w:hAnsi="Arial"/>
          <w:b/>
          <w:bCs/>
          <w:color w:val="000000"/>
          <w:sz w:val="24"/>
          <w:szCs w:val="24"/>
          <w:lang w:eastAsia="lv-LV"/>
        </w:rPr>
        <w:t>Mazumtirdzniecības un pakalpojumu telpas</w:t>
      </w:r>
    </w:p>
    <w:p>
      <w:pPr>
        <w:pStyle w:val="NormalWeb"/>
        <w:shd w:val="clear" w:color="auto" w:fill="FFFFFF"/>
        <w:spacing w:beforeAutospacing="0" w:before="0" w:afterAutospacing="0" w:after="0"/>
        <w:ind w:hanging="0"/>
        <w:jc w:val="both"/>
        <w:rPr>
          <w:rFonts w:ascii="Arial" w:hAnsi="Arial"/>
        </w:rPr>
      </w:pPr>
      <w:r>
        <w:rPr>
          <w:rFonts w:ascii="Arial" w:hAnsi="Arial"/>
          <w:color w:val="000000"/>
        </w:rPr>
        <w:t>P</w:t>
      </w:r>
      <w:r>
        <w:rPr>
          <w:rFonts w:ascii="Arial" w:hAnsi="Arial"/>
          <w:color w:val="000000"/>
        </w:rPr>
        <w:t xml:space="preserve">ieprasījums </w:t>
      </w:r>
      <w:r>
        <w:rPr>
          <w:rFonts w:ascii="Arial" w:hAnsi="Arial"/>
          <w:color w:val="000000"/>
        </w:rPr>
        <w:t xml:space="preserve">pēc šīm telpām </w:t>
      </w:r>
      <w:r>
        <w:rPr>
          <w:rFonts w:ascii="Arial" w:hAnsi="Arial"/>
          <w:color w:val="000000"/>
        </w:rPr>
        <w:t xml:space="preserve">vēl joprojām </w:t>
      </w:r>
      <w:r>
        <w:rPr>
          <w:rFonts w:ascii="Arial" w:hAnsi="Arial"/>
          <w:color w:val="000000"/>
        </w:rPr>
        <w:t xml:space="preserve">bija </w:t>
      </w:r>
      <w:r>
        <w:rPr>
          <w:rFonts w:ascii="Arial" w:hAnsi="Arial"/>
          <w:color w:val="000000"/>
        </w:rPr>
        <w:t xml:space="preserve">zems. </w:t>
      </w:r>
      <w:r>
        <w:rPr>
          <w:rFonts w:ascii="Arial" w:hAnsi="Arial"/>
          <w:color w:val="000000"/>
        </w:rPr>
        <w:t>L</w:t>
      </w:r>
      <w:r>
        <w:rPr>
          <w:rFonts w:ascii="Arial" w:hAnsi="Arial"/>
          <w:color w:val="000000"/>
        </w:rPr>
        <w:t>ielas izmaiņas, salīdzinot ar 2024. gadu, šī segmenta telpām n</w:t>
      </w:r>
      <w:r>
        <w:rPr>
          <w:rFonts w:ascii="Arial" w:hAnsi="Arial"/>
          <w:color w:val="000000"/>
        </w:rPr>
        <w:t>ebija</w:t>
      </w:r>
      <w:r>
        <w:rPr>
          <w:rFonts w:ascii="Arial" w:hAnsi="Arial"/>
          <w:color w:val="000000"/>
        </w:rPr>
        <w:t>. Kā novērots, lielu ietekmi uz tirdzniecības telpu pieprasījumu atstāja inflācija, energoresursu un citu komunālo pakalpojumu pieaugušās izmaksas, kas būtiski ietekmē</w:t>
      </w:r>
      <w:r>
        <w:rPr>
          <w:rFonts w:ascii="Arial" w:hAnsi="Arial"/>
          <w:color w:val="000000"/>
        </w:rPr>
        <w:t>ja</w:t>
      </w:r>
      <w:r>
        <w:rPr>
          <w:rFonts w:ascii="Arial" w:hAnsi="Arial"/>
          <w:color w:val="000000"/>
        </w:rPr>
        <w:t xml:space="preserve"> to maksājumu slogu, ar kuru sask</w:t>
      </w:r>
      <w:r>
        <w:rPr>
          <w:rFonts w:ascii="Arial" w:hAnsi="Arial"/>
          <w:color w:val="000000"/>
        </w:rPr>
        <w:t>ārās</w:t>
      </w:r>
      <w:r>
        <w:rPr>
          <w:rFonts w:ascii="Arial" w:hAnsi="Arial"/>
          <w:color w:val="000000"/>
        </w:rPr>
        <w:t xml:space="preserve"> tirdzniecības nozarē strādājošie uzņēmumi. Jaunas tirdzniecības vietas 2024. gadā tika atvērtas ļoti reti. </w:t>
      </w:r>
      <w:r>
        <w:rPr>
          <w:rFonts w:ascii="Arial" w:hAnsi="Arial"/>
          <w:color w:val="000000"/>
        </w:rPr>
        <w:t xml:space="preserve">Arī </w:t>
      </w:r>
      <w:r>
        <w:rPr>
          <w:rFonts w:ascii="Arial" w:hAnsi="Arial"/>
          <w:color w:val="000000"/>
        </w:rPr>
        <w:t xml:space="preserve">tās, kuras atvērās, sastapās ar to, ka nepietiekamas apmeklētāju plūsmas dēļ naudas plūsma nespēja nodrošināt izdevumus, </w:t>
      </w:r>
      <w:r>
        <w:rPr>
          <w:rFonts w:ascii="Arial" w:hAnsi="Arial"/>
          <w:color w:val="000000"/>
        </w:rPr>
        <w:t xml:space="preserve">kā rezultātā </w:t>
      </w:r>
      <w:r>
        <w:rPr>
          <w:rFonts w:ascii="Arial" w:hAnsi="Arial"/>
          <w:color w:val="000000"/>
        </w:rPr>
        <w:t>pēc 3-6 mēnešu darbības telpas nonāca atpakaļ tirgū.</w:t>
      </w:r>
    </w:p>
    <w:p>
      <w:pPr>
        <w:pStyle w:val="NormalWeb"/>
        <w:shd w:val="clear" w:color="auto" w:fill="FFFFFF"/>
        <w:spacing w:beforeAutospacing="0" w:before="0" w:afterAutospacing="0" w:after="0"/>
        <w:ind w:hanging="0"/>
        <w:jc w:val="both"/>
        <w:rPr>
          <w:rFonts w:ascii="Arial" w:hAnsi="Arial"/>
        </w:rPr>
      </w:pPr>
      <w:r>
        <w:rPr>
          <w:rFonts w:ascii="Arial" w:hAnsi="Arial"/>
          <w:color w:val="000000"/>
        </w:rPr>
        <w:t xml:space="preserve"> </w:t>
      </w:r>
    </w:p>
    <w:p>
      <w:pPr>
        <w:pStyle w:val="NormalWeb"/>
        <w:shd w:val="clear" w:color="auto" w:fill="FFFFFF"/>
        <w:spacing w:beforeAutospacing="0" w:before="0" w:afterAutospacing="0" w:after="0"/>
        <w:ind w:hanging="0"/>
        <w:jc w:val="both"/>
        <w:rPr>
          <w:rFonts w:ascii="Arial" w:hAnsi="Arial"/>
        </w:rPr>
      </w:pPr>
      <w:r>
        <w:rPr>
          <w:rFonts w:ascii="Arial" w:hAnsi="Arial"/>
          <w:color w:val="000000"/>
        </w:rPr>
        <w:t>N</w:t>
      </w:r>
      <w:r>
        <w:rPr>
          <w:rFonts w:ascii="Arial" w:hAnsi="Arial"/>
          <w:color w:val="000000"/>
        </w:rPr>
        <w:t>ovēro</w:t>
      </w:r>
      <w:r>
        <w:rPr>
          <w:rFonts w:ascii="Arial" w:hAnsi="Arial"/>
          <w:color w:val="000000"/>
        </w:rPr>
        <w:t>ts</w:t>
      </w:r>
      <w:r>
        <w:rPr>
          <w:rFonts w:ascii="Arial" w:hAnsi="Arial"/>
          <w:color w:val="000000"/>
        </w:rPr>
        <w:t xml:space="preserve"> arī tas, ka daļai no tirdzniecības telpām tika mainīts telpu izmantošanas veids un pilsētas centra </w:t>
      </w:r>
      <w:r>
        <w:rPr>
          <w:rFonts w:ascii="Arial" w:hAnsi="Arial"/>
          <w:color w:val="000000"/>
        </w:rPr>
        <w:t xml:space="preserve">pirmā </w:t>
      </w:r>
      <w:r>
        <w:rPr>
          <w:rFonts w:ascii="Arial" w:hAnsi="Arial"/>
          <w:color w:val="000000"/>
        </w:rPr>
        <w:t xml:space="preserve">stāva telpās parādījās vairākas medicīnas iestādes, mākslas galerijas un “pop up” biroji, jo Rīgas dome bija ieviesusi vienkāršotāku procesu telpu lietošanas veida maiņai. Tas, ka Rīgas dome meklē risinājumu, lai atgrieztu uzņēmējdarbību pilsētas centram, ir pozitīvs rādītājs, bet vēl </w:t>
      </w:r>
      <w:r>
        <w:rPr>
          <w:rFonts w:ascii="Arial" w:hAnsi="Arial"/>
          <w:color w:val="000000"/>
        </w:rPr>
        <w:t>daudz darāms</w:t>
      </w:r>
      <w:r>
        <w:rPr>
          <w:rFonts w:ascii="Arial" w:hAnsi="Arial"/>
          <w:color w:val="000000"/>
        </w:rPr>
        <w:t xml:space="preserve">, lai atgrieztu uzņēmējdarbību Rīgas centrā un novērstu to </w:t>
      </w:r>
      <w:r>
        <w:rPr>
          <w:rFonts w:ascii="Arial" w:hAnsi="Arial"/>
          <w:color w:val="000000"/>
        </w:rPr>
        <w:t xml:space="preserve">negatīvo </w:t>
      </w:r>
      <w:r>
        <w:rPr>
          <w:rFonts w:ascii="Arial" w:hAnsi="Arial"/>
          <w:color w:val="000000"/>
        </w:rPr>
        <w:t>ietekmi, k</w:t>
      </w:r>
      <w:r>
        <w:rPr>
          <w:rFonts w:ascii="Arial" w:hAnsi="Arial"/>
          <w:color w:val="000000"/>
        </w:rPr>
        <w:t>o</w:t>
      </w:r>
      <w:r>
        <w:rPr>
          <w:rFonts w:ascii="Arial" w:hAnsi="Arial"/>
          <w:color w:val="000000"/>
        </w:rPr>
        <w:t xml:space="preserve"> radīja </w:t>
      </w:r>
      <w:r>
        <w:rPr>
          <w:rFonts w:ascii="Arial" w:hAnsi="Arial"/>
          <w:color w:val="000000"/>
        </w:rPr>
        <w:t>C</w:t>
      </w:r>
      <w:r>
        <w:rPr>
          <w:rFonts w:ascii="Arial" w:hAnsi="Arial"/>
          <w:color w:val="000000"/>
        </w:rPr>
        <w:t xml:space="preserve">ovid-19 un </w:t>
      </w:r>
      <w:r>
        <w:rPr>
          <w:rFonts w:ascii="Arial" w:hAnsi="Arial"/>
          <w:color w:val="000000"/>
        </w:rPr>
        <w:t>sekojoš</w:t>
      </w:r>
      <w:r>
        <w:rPr>
          <w:rFonts w:ascii="Arial" w:hAnsi="Arial"/>
          <w:color w:val="000000"/>
        </w:rPr>
        <w:t>ā</w:t>
      </w:r>
      <w:r>
        <w:rPr>
          <w:rFonts w:ascii="Arial" w:hAnsi="Arial"/>
          <w:color w:val="000000"/>
        </w:rPr>
        <w:t xml:space="preserve"> </w:t>
      </w:r>
      <w:r>
        <w:rPr>
          <w:rFonts w:ascii="Arial" w:hAnsi="Arial"/>
          <w:color w:val="000000"/>
        </w:rPr>
        <w:t>nepareiza pilsētas plānošana.</w:t>
      </w:r>
    </w:p>
    <w:p>
      <w:pPr>
        <w:pStyle w:val="NormalWeb"/>
        <w:shd w:val="clear" w:color="auto" w:fill="FFFFFF"/>
        <w:spacing w:beforeAutospacing="0" w:before="0" w:afterAutospacing="0" w:after="0"/>
        <w:jc w:val="both"/>
        <w:rPr>
          <w:rFonts w:ascii="Arial" w:hAnsi="Arial"/>
          <w:color w:val="000000"/>
          <w:highlight w:val="yellow"/>
        </w:rPr>
      </w:pPr>
      <w:r>
        <w:rPr>
          <w:rFonts w:ascii="Arial" w:hAnsi="Arial"/>
          <w:color w:val="000000"/>
          <w:highlight w:val="yellow"/>
        </w:rPr>
      </w:r>
    </w:p>
    <w:p>
      <w:pPr>
        <w:pStyle w:val="Normal"/>
        <w:tabs>
          <w:tab w:val="clear" w:pos="720"/>
          <w:tab w:val="left" w:pos="6379" w:leader="none"/>
        </w:tabs>
        <w:spacing w:lineRule="auto" w:line="240" w:before="0" w:after="160"/>
        <w:jc w:val="both"/>
        <w:rPr>
          <w:rFonts w:ascii="Arial" w:hAnsi="Arial"/>
        </w:rPr>
      </w:pPr>
      <w:bookmarkStart w:id="0" w:name="_GoBack"/>
      <w:bookmarkEnd w:id="0"/>
      <w:r>
        <w:rPr>
          <w:rFonts w:eastAsia="Times New Roman" w:cs="Times New Roman" w:ascii="Arial" w:hAnsi="Arial"/>
          <w:b/>
          <w:bCs/>
          <w:color w:val="000000"/>
          <w:sz w:val="24"/>
          <w:szCs w:val="24"/>
          <w:lang w:eastAsia="lv-LV"/>
        </w:rPr>
        <w:t>Piedāvājums</w:t>
      </w:r>
    </w:p>
    <w:p>
      <w:pPr>
        <w:pStyle w:val="Normal"/>
        <w:tabs>
          <w:tab w:val="clear" w:pos="720"/>
          <w:tab w:val="left" w:pos="567" w:leader="none"/>
          <w:tab w:val="left" w:pos="6379" w:leader="none"/>
        </w:tabs>
        <w:spacing w:lineRule="auto" w:line="240"/>
        <w:jc w:val="both"/>
        <w:rPr>
          <w:rFonts w:ascii="Arial" w:hAnsi="Arial"/>
        </w:rPr>
      </w:pPr>
      <w:r>
        <w:rPr>
          <w:rFonts w:eastAsia="Times New Roman" w:cs="Times New Roman" w:ascii="Arial" w:hAnsi="Arial"/>
          <w:color w:val="000000"/>
          <w:sz w:val="24"/>
          <w:szCs w:val="24"/>
          <w:lang w:eastAsia="lv-LV"/>
        </w:rPr>
        <w:t>2025. gadā tirgū šajā telpu segmentā bija novērojams neliels brīvo platību samazinājums</w:t>
      </w:r>
      <w:r>
        <w:rPr>
          <w:rFonts w:eastAsia="Times New Roman" w:cs="Times New Roman" w:ascii="Arial" w:hAnsi="Arial"/>
          <w:bCs/>
          <w:color w:val="000000"/>
          <w:sz w:val="24"/>
          <w:szCs w:val="24"/>
          <w:lang w:eastAsia="lv-LV"/>
        </w:rPr>
        <w:t xml:space="preserve">, kas, kā jau minēts, pārsvarā notika tādēļ, ka tika mainīts telpu izmantošanas veids. Telpu nomas darījumi pārsvarā notika esošajiem Rīgas centra nomniekiem, mainot telpu atrašanās vietu, izvēloties telpas ar lielāku gājēju plūsmu vai labāku </w:t>
      </w:r>
      <w:r>
        <w:rPr>
          <w:rFonts w:eastAsia="Times New Roman" w:cs="Times New Roman" w:ascii="Arial" w:hAnsi="Arial"/>
          <w:bCs/>
          <w:color w:val="000000"/>
          <w:sz w:val="24"/>
          <w:szCs w:val="24"/>
          <w:lang w:eastAsia="lv-LV"/>
        </w:rPr>
        <w:t>telpu stāvokli</w:t>
      </w:r>
      <w:r>
        <w:rPr>
          <w:rFonts w:eastAsia="Times New Roman" w:cs="Times New Roman" w:ascii="Arial" w:hAnsi="Arial"/>
          <w:bCs/>
          <w:color w:val="000000"/>
          <w:sz w:val="24"/>
          <w:szCs w:val="24"/>
          <w:lang w:eastAsia="lv-LV"/>
        </w:rPr>
        <w:t>. Telpām šajā segmentā bija vērojamas arī nomas maksas izmaiņas, kuras ietekmēja gan ilgstošā dīkstāve, gan pieaugošie komunālie maksājumi.</w:t>
      </w:r>
      <w:r>
        <w:rPr>
          <w:rFonts w:ascii="Arial" w:hAnsi="Arial"/>
        </w:rPr>
        <w:t xml:space="preserve"> </w:t>
      </w:r>
    </w:p>
    <w:p>
      <w:pPr>
        <w:pStyle w:val="Normal"/>
        <w:spacing w:lineRule="auto" w:line="240"/>
        <w:jc w:val="both"/>
        <w:rPr>
          <w:rFonts w:eastAsia="Times New Roman" w:cs="Times New Roman"/>
          <w:b/>
          <w:bCs/>
          <w:color w:val="000000"/>
          <w:sz w:val="24"/>
          <w:szCs w:val="24"/>
          <w:lang w:eastAsia="lv-LV"/>
        </w:rPr>
      </w:pPr>
      <w:r>
        <w:rPr>
          <w:rFonts w:ascii="Arial" w:hAnsi="Arial"/>
        </w:rPr>
      </w:r>
      <w:r>
        <w:br w:type="page"/>
      </w:r>
    </w:p>
    <w:p>
      <w:pPr>
        <w:pStyle w:val="Normal"/>
        <w:spacing w:lineRule="auto" w:line="240"/>
        <w:jc w:val="both"/>
        <w:rPr>
          <w:rFonts w:ascii="Arial" w:hAnsi="Arial"/>
        </w:rPr>
      </w:pPr>
      <w:r>
        <w:rPr>
          <w:rFonts w:eastAsia="Times New Roman" w:cs="Times New Roman" w:ascii="Arial" w:hAnsi="Arial"/>
          <w:b/>
          <w:bCs/>
          <w:color w:val="000000"/>
          <w:sz w:val="24"/>
          <w:szCs w:val="24"/>
          <w:lang w:eastAsia="lv-LV"/>
        </w:rPr>
        <w:t>Nomas maksa</w:t>
      </w:r>
    </w:p>
    <w:p>
      <w:pPr>
        <w:pStyle w:val="NormalWeb"/>
        <w:shd w:val="clear" w:color="auto" w:fill="FFFFFF"/>
        <w:spacing w:beforeAutospacing="0" w:before="0" w:afterAutospacing="0" w:after="0"/>
        <w:ind w:hanging="0"/>
        <w:jc w:val="both"/>
        <w:rPr>
          <w:rFonts w:ascii="Arial" w:hAnsi="Arial"/>
        </w:rPr>
      </w:pPr>
      <w:r>
        <w:rPr>
          <w:rFonts w:ascii="Arial" w:hAnsi="Arial"/>
          <w:color w:val="000000"/>
        </w:rPr>
        <w:t>2025. gadā tirdzniecības nozarē bija līdzīga sit</w:t>
      </w:r>
      <w:r>
        <w:rPr>
          <w:rFonts w:ascii="Arial" w:hAnsi="Arial"/>
          <w:color w:val="000000"/>
        </w:rPr>
        <w:t>uācija –</w:t>
      </w:r>
      <w:r>
        <w:rPr>
          <w:rFonts w:ascii="Arial" w:hAnsi="Arial"/>
          <w:color w:val="000000"/>
        </w:rPr>
        <w:t xml:space="preserve"> pieprasītākajām Rīgas centra ielām, salīdzinot ar 2024. gadu, </w:t>
      </w:r>
      <w:r>
        <w:rPr>
          <w:rFonts w:ascii="Arial" w:hAnsi="Arial"/>
          <w:color w:val="000000"/>
        </w:rPr>
        <w:t xml:space="preserve">nomas maksa </w:t>
      </w:r>
      <w:r>
        <w:rPr>
          <w:rFonts w:ascii="Arial" w:hAnsi="Arial"/>
          <w:color w:val="000000"/>
        </w:rPr>
        <w:t>pārsvarā nemainījās, bet telpu nomas maksa uz attālākajām Rīgas centra ielām nedaudz samazinājās.</w:t>
      </w:r>
    </w:p>
    <w:p>
      <w:pPr>
        <w:pStyle w:val="NormalWeb"/>
        <w:shd w:val="clear" w:color="auto" w:fill="FFFFFF"/>
        <w:spacing w:beforeAutospacing="0" w:before="0" w:afterAutospacing="0" w:after="0"/>
        <w:ind w:firstLine="720"/>
        <w:jc w:val="both"/>
        <w:rPr>
          <w:rFonts w:ascii="Arial" w:hAnsi="Arial"/>
          <w:color w:val="000000"/>
        </w:rPr>
      </w:pPr>
      <w:r>
        <w:rPr>
          <w:rFonts w:ascii="Arial" w:hAnsi="Arial"/>
          <w:color w:val="000000"/>
        </w:rPr>
      </w:r>
    </w:p>
    <w:p>
      <w:pPr>
        <w:pStyle w:val="NormalWeb"/>
        <w:shd w:val="clear" w:color="auto" w:fill="FFFFFF"/>
        <w:spacing w:beforeAutospacing="0" w:before="0" w:afterAutospacing="0" w:after="0"/>
        <w:ind w:hanging="0"/>
        <w:jc w:val="both"/>
        <w:rPr>
          <w:rFonts w:ascii="Arial" w:hAnsi="Arial"/>
        </w:rPr>
      </w:pPr>
      <w:r>
        <w:rPr>
          <w:rFonts w:ascii="Arial" w:hAnsi="Arial"/>
          <w:color w:val="000000"/>
        </w:rPr>
        <w:t xml:space="preserve">Telpu nomas maksa uz pieprasītākajām ielām bija diapazonā no 15 </w:t>
      </w:r>
      <w:r>
        <w:rPr>
          <w:rFonts w:ascii="Arial" w:hAnsi="Arial"/>
          <w:color w:val="000000"/>
        </w:rPr>
        <w:t xml:space="preserve">līdz </w:t>
      </w:r>
      <w:r>
        <w:rPr>
          <w:rFonts w:ascii="Arial" w:hAnsi="Arial"/>
          <w:color w:val="000000"/>
        </w:rPr>
        <w:t>18 EUR/m</w:t>
      </w:r>
      <w:r>
        <w:rPr>
          <w:rFonts w:eastAsia="FreeSans" w:cs="FreeSans" w:ascii="FreeSans" w:hAnsi="FreeSans"/>
          <w:color w:val="000000"/>
        </w:rPr>
        <w:t>²</w:t>
      </w:r>
      <w:r>
        <w:rPr>
          <w:rFonts w:ascii="Arial" w:hAnsi="Arial"/>
          <w:color w:val="000000"/>
        </w:rPr>
        <w:t xml:space="preserve">, bet telpām tālāk no centra vai uz ielām ar lielāku vakanču skaitu bija diapazonā no 8 </w:t>
      </w:r>
      <w:r>
        <w:rPr>
          <w:rFonts w:ascii="Arial" w:hAnsi="Arial"/>
          <w:color w:val="000000"/>
        </w:rPr>
        <w:t xml:space="preserve">līdz </w:t>
      </w:r>
      <w:r>
        <w:rPr>
          <w:rFonts w:ascii="Arial" w:hAnsi="Arial"/>
          <w:color w:val="000000"/>
        </w:rPr>
        <w:t>10 E</w:t>
      </w:r>
      <w:r>
        <w:rPr>
          <w:rFonts w:ascii="Arial" w:hAnsi="Arial"/>
          <w:color w:val="000000"/>
        </w:rPr>
        <w:t>UR</w:t>
      </w:r>
      <w:r>
        <w:rPr>
          <w:rFonts w:ascii="Arial" w:hAnsi="Arial"/>
          <w:color w:val="000000"/>
        </w:rPr>
        <w:t>/m</w:t>
      </w:r>
      <w:r>
        <w:rPr>
          <w:rFonts w:eastAsia="FreeSans" w:cs="FreeSans" w:ascii="FreeSans" w:hAnsi="FreeSans"/>
          <w:color w:val="000000"/>
        </w:rPr>
        <w:t>²</w:t>
      </w:r>
      <w:r>
        <w:rPr>
          <w:rFonts w:ascii="Arial" w:hAnsi="Arial"/>
          <w:color w:val="000000"/>
        </w:rPr>
        <w:t xml:space="preserve">. </w:t>
      </w:r>
      <w:r>
        <w:rPr>
          <w:rFonts w:ascii="Arial" w:hAnsi="Arial"/>
          <w:color w:val="000000"/>
        </w:rPr>
        <w:t>N</w:t>
      </w:r>
      <w:r>
        <w:rPr>
          <w:rFonts w:ascii="Arial" w:hAnsi="Arial"/>
          <w:color w:val="000000"/>
        </w:rPr>
        <w:t xml:space="preserve">omas maksa bija ļoti atkarīga no gājēju intensitātes un telpu novietojuma, un liela uzmanība no nomnieku puses tika pievērsta telpu plānojumam. Lielāks pieprasījums bija pēc telpām ar mazāku palīgtelpu platību, kas liecināja par to, ka uzņēmēji neizvēlējās veidot lielus preču atlikumus un izmantot palīgtelpas noliktavu vajadzībām. </w:t>
      </w:r>
    </w:p>
    <w:p>
      <w:pPr>
        <w:pStyle w:val="NormalWeb"/>
        <w:shd w:val="clear" w:color="auto" w:fill="FFFFFF"/>
        <w:spacing w:beforeAutospacing="0" w:before="0" w:afterAutospacing="0" w:after="0"/>
        <w:jc w:val="both"/>
        <w:rPr>
          <w:rFonts w:ascii="Arial" w:hAnsi="Arial"/>
          <w:color w:val="000000"/>
          <w:highlight w:val="yellow"/>
        </w:rPr>
      </w:pPr>
      <w:r>
        <w:rPr>
          <w:rFonts w:ascii="Arial" w:hAnsi="Arial"/>
          <w:color w:val="000000"/>
          <w:highlight w:val="yellow"/>
        </w:rPr>
      </w:r>
    </w:p>
    <w:p>
      <w:pPr>
        <w:pStyle w:val="NormalWeb"/>
        <w:shd w:val="clear" w:color="auto" w:fill="FFFFFF"/>
        <w:spacing w:beforeAutospacing="0" w:before="0" w:afterAutospacing="0" w:after="0"/>
        <w:ind w:hanging="0"/>
        <w:jc w:val="both"/>
        <w:rPr>
          <w:rFonts w:ascii="Arial" w:hAnsi="Arial"/>
        </w:rPr>
      </w:pPr>
      <w:r>
        <w:rPr>
          <w:rFonts w:ascii="Arial" w:hAnsi="Arial"/>
          <w:color w:val="000000"/>
        </w:rPr>
        <w:t>Tirdzniecības centros nomas maksa bija no 8 EUR/m</w:t>
      </w:r>
      <w:r>
        <w:rPr>
          <w:rFonts w:eastAsia="FreeSans" w:cs="FreeSans" w:ascii="FreeSans" w:hAnsi="FreeSans"/>
          <w:color w:val="000000"/>
        </w:rPr>
        <w:t>²</w:t>
      </w:r>
      <w:r>
        <w:rPr>
          <w:rFonts w:ascii="Arial" w:hAnsi="Arial"/>
          <w:color w:val="000000"/>
        </w:rPr>
        <w:t xml:space="preserve"> (telpām ar platību virs 1 000 m</w:t>
      </w:r>
      <w:r>
        <w:rPr>
          <w:rFonts w:eastAsia="FreeSans" w:cs="FreeSans" w:ascii="FreeSans" w:hAnsi="FreeSans"/>
          <w:color w:val="000000"/>
        </w:rPr>
        <w:t>²</w:t>
      </w:r>
      <w:r>
        <w:rPr>
          <w:rFonts w:ascii="Arial" w:hAnsi="Arial"/>
          <w:color w:val="000000"/>
        </w:rPr>
        <w:t>), 15-25 EUR/m</w:t>
      </w:r>
      <w:r>
        <w:rPr>
          <w:rFonts w:eastAsia="FreeSans" w:cs="FreeSans" w:ascii="FreeSans" w:hAnsi="FreeSans"/>
          <w:color w:val="000000"/>
        </w:rPr>
        <w:t>²</w:t>
      </w:r>
      <w:r>
        <w:rPr>
          <w:rFonts w:ascii="Arial" w:hAnsi="Arial"/>
          <w:color w:val="000000"/>
        </w:rPr>
        <w:t xml:space="preserve"> vidēja lieluma telpām (150-300 m</w:t>
      </w:r>
      <w:r>
        <w:rPr>
          <w:rFonts w:eastAsia="FreeSans" w:cs="FreeSans" w:ascii="FreeSans" w:hAnsi="FreeSans"/>
          <w:color w:val="000000"/>
        </w:rPr>
        <w:t>²</w:t>
      </w:r>
      <w:r>
        <w:rPr>
          <w:rFonts w:ascii="Arial" w:hAnsi="Arial"/>
          <w:color w:val="000000"/>
        </w:rPr>
        <w:t>) un 25-35 EUR/m</w:t>
      </w:r>
      <w:r>
        <w:rPr>
          <w:rFonts w:eastAsia="FreeSans" w:cs="FreeSans" w:ascii="FreeSans" w:hAnsi="FreeSans"/>
          <w:color w:val="000000"/>
        </w:rPr>
        <w:t>²</w:t>
      </w:r>
      <w:r>
        <w:rPr>
          <w:rFonts w:ascii="Arial" w:hAnsi="Arial"/>
          <w:color w:val="000000"/>
        </w:rPr>
        <w:t xml:space="preserve"> (telpām līdz 100 m</w:t>
      </w:r>
      <w:r>
        <w:rPr>
          <w:rFonts w:eastAsia="FreeSans" w:cs="FreeSans" w:ascii="FreeSans" w:hAnsi="FreeSans"/>
          <w:color w:val="000000"/>
        </w:rPr>
        <w:t>²</w:t>
      </w:r>
      <w:r>
        <w:rPr>
          <w:rFonts w:ascii="Arial" w:hAnsi="Arial"/>
          <w:color w:val="000000"/>
        </w:rPr>
        <w:t>). Enkurnomniekiem nomas maksa mēnesī nepārsniedza 8-10 EUR/m</w:t>
      </w:r>
      <w:r>
        <w:rPr>
          <w:rFonts w:eastAsia="FreeSans" w:cs="FreeSans" w:ascii="FreeSans" w:hAnsi="FreeSans"/>
          <w:color w:val="000000"/>
        </w:rPr>
        <w:t>²</w:t>
      </w:r>
      <w:r>
        <w:rPr>
          <w:rFonts w:ascii="Arial" w:hAnsi="Arial"/>
          <w:color w:val="000000"/>
        </w:rPr>
        <w:t>.</w:t>
      </w:r>
    </w:p>
    <w:p>
      <w:pPr>
        <w:pStyle w:val="NormalWeb"/>
        <w:shd w:val="clear" w:color="auto" w:fill="FFFFFF"/>
        <w:spacing w:beforeAutospacing="0" w:before="0" w:afterAutospacing="0" w:after="0"/>
        <w:ind w:firstLine="720"/>
        <w:jc w:val="both"/>
        <w:rPr>
          <w:rFonts w:ascii="Arial" w:hAnsi="Arial"/>
          <w:color w:val="000000"/>
        </w:rPr>
      </w:pPr>
      <w:r>
        <w:rPr>
          <w:rFonts w:ascii="Arial" w:hAnsi="Arial"/>
          <w:color w:val="000000"/>
        </w:rPr>
      </w:r>
    </w:p>
    <w:p>
      <w:pPr>
        <w:pStyle w:val="Normal"/>
        <w:spacing w:lineRule="auto" w:line="240"/>
        <w:ind w:hanging="0"/>
        <w:jc w:val="both"/>
        <w:rPr>
          <w:rFonts w:ascii="Arial" w:hAnsi="Arial"/>
        </w:rPr>
      </w:pPr>
      <w:r>
        <w:rPr>
          <w:rFonts w:eastAsia="Times New Roman" w:cs="Times New Roman" w:ascii="Arial" w:hAnsi="Arial"/>
          <w:bCs/>
          <w:color w:val="000000"/>
          <w:sz w:val="24"/>
          <w:szCs w:val="24"/>
          <w:lang w:eastAsia="lv-LV"/>
        </w:rPr>
        <w:t>Vecrīga joprojām “cīn</w:t>
      </w:r>
      <w:r>
        <w:rPr>
          <w:rFonts w:eastAsia="Times New Roman" w:cs="Times New Roman" w:ascii="Arial" w:hAnsi="Arial"/>
          <w:bCs/>
          <w:color w:val="000000"/>
          <w:sz w:val="24"/>
          <w:szCs w:val="24"/>
          <w:lang w:eastAsia="lv-LV"/>
        </w:rPr>
        <w:t>īj</w:t>
      </w:r>
      <w:r>
        <w:rPr>
          <w:rFonts w:eastAsia="Times New Roman" w:cs="Times New Roman" w:ascii="Arial" w:hAnsi="Arial"/>
          <w:bCs/>
          <w:color w:val="000000"/>
          <w:sz w:val="24"/>
          <w:szCs w:val="24"/>
          <w:lang w:eastAsia="lv-LV"/>
        </w:rPr>
        <w:t xml:space="preserve">ās” ar </w:t>
      </w:r>
      <w:r>
        <w:rPr>
          <w:rFonts w:eastAsia="Times New Roman" w:cs="Times New Roman" w:ascii="Arial" w:hAnsi="Arial"/>
          <w:bCs/>
          <w:color w:val="000000"/>
          <w:sz w:val="24"/>
          <w:szCs w:val="24"/>
          <w:lang w:eastAsia="lv-LV"/>
        </w:rPr>
        <w:t>ģ</w:t>
      </w:r>
      <w:r>
        <w:rPr>
          <w:rFonts w:eastAsia="Times New Roman" w:cs="Times New Roman" w:ascii="Arial" w:hAnsi="Arial"/>
          <w:bCs/>
          <w:color w:val="000000"/>
          <w:sz w:val="24"/>
          <w:szCs w:val="24"/>
          <w:lang w:eastAsia="lv-LV"/>
        </w:rPr>
        <w:t xml:space="preserve">eopolitikas radītajām tūrisma maiņas sekām, </w:t>
      </w:r>
      <w:r>
        <w:rPr>
          <w:rFonts w:eastAsia="Times New Roman" w:cs="Times New Roman" w:ascii="Arial" w:hAnsi="Arial"/>
          <w:bCs/>
          <w:color w:val="000000"/>
          <w:sz w:val="24"/>
          <w:szCs w:val="24"/>
          <w:lang w:eastAsia="lv-LV"/>
        </w:rPr>
        <w:t xml:space="preserve">tādēļ </w:t>
      </w:r>
      <w:r>
        <w:rPr>
          <w:rFonts w:eastAsia="Times New Roman" w:cs="Times New Roman" w:ascii="Arial" w:hAnsi="Arial"/>
          <w:bCs/>
          <w:color w:val="000000"/>
          <w:sz w:val="24"/>
          <w:szCs w:val="24"/>
          <w:lang w:eastAsia="lv-LV"/>
        </w:rPr>
        <w:t>pieprasījums pēc tirdzniecības telpām n</w:t>
      </w:r>
      <w:r>
        <w:rPr>
          <w:rFonts w:eastAsia="Times New Roman" w:cs="Times New Roman" w:ascii="Arial" w:hAnsi="Arial"/>
          <w:bCs/>
          <w:color w:val="000000"/>
          <w:sz w:val="24"/>
          <w:szCs w:val="24"/>
          <w:lang w:eastAsia="lv-LV"/>
        </w:rPr>
        <w:t>epieauga</w:t>
      </w:r>
      <w:r>
        <w:rPr>
          <w:rFonts w:eastAsia="Times New Roman" w:cs="Times New Roman" w:ascii="Arial" w:hAnsi="Arial"/>
          <w:bCs/>
          <w:color w:val="000000"/>
          <w:sz w:val="24"/>
          <w:szCs w:val="24"/>
          <w:lang w:eastAsia="lv-LV"/>
        </w:rPr>
        <w:t>. 2026. gadā šeit sāk</w:t>
      </w:r>
      <w:r>
        <w:rPr>
          <w:rFonts w:eastAsia="Times New Roman" w:cs="Times New Roman" w:ascii="Arial" w:hAnsi="Arial"/>
          <w:bCs/>
          <w:color w:val="000000"/>
          <w:sz w:val="24"/>
          <w:szCs w:val="24"/>
          <w:lang w:eastAsia="lv-LV"/>
        </w:rPr>
        <w:t>a</w:t>
      </w:r>
      <w:r>
        <w:rPr>
          <w:rFonts w:eastAsia="Times New Roman" w:cs="Times New Roman" w:ascii="Arial" w:hAnsi="Arial"/>
          <w:bCs/>
          <w:color w:val="000000"/>
          <w:sz w:val="24"/>
          <w:szCs w:val="24"/>
          <w:lang w:eastAsia="lv-LV"/>
        </w:rPr>
        <w:t xml:space="preserve"> parādīties vairāk mākslas galeriju un “pop-up” veikalu, jo tradicionālie suvenīru un restorānu tīkli vairs nespēj</w:t>
      </w:r>
      <w:r>
        <w:rPr>
          <w:rFonts w:eastAsia="Times New Roman" w:cs="Times New Roman" w:ascii="Arial" w:hAnsi="Arial"/>
          <w:bCs/>
          <w:color w:val="000000"/>
          <w:sz w:val="24"/>
          <w:szCs w:val="24"/>
          <w:lang w:eastAsia="lv-LV"/>
        </w:rPr>
        <w:t>a</w:t>
      </w:r>
      <w:r>
        <w:rPr>
          <w:rFonts w:eastAsia="Times New Roman" w:cs="Times New Roman" w:ascii="Arial" w:hAnsi="Arial"/>
          <w:bCs/>
          <w:color w:val="000000"/>
          <w:sz w:val="24"/>
          <w:szCs w:val="24"/>
          <w:lang w:eastAsia="lv-LV"/>
        </w:rPr>
        <w:t xml:space="preserve"> segt augstās apsaimniekošanas izmaksas esošās tūristu plūsmas </w:t>
      </w:r>
      <w:r>
        <w:rPr>
          <w:rFonts w:eastAsia="Times New Roman" w:cs="Times New Roman" w:ascii="Arial" w:hAnsi="Arial"/>
          <w:bCs/>
          <w:color w:val="000000"/>
          <w:sz w:val="24"/>
          <w:szCs w:val="24"/>
          <w:lang w:eastAsia="lv-LV"/>
        </w:rPr>
        <w:t>apstākļos</w:t>
      </w:r>
      <w:r>
        <w:rPr>
          <w:rFonts w:eastAsia="Times New Roman" w:cs="Times New Roman" w:ascii="Arial" w:hAnsi="Arial"/>
          <w:bCs/>
          <w:color w:val="000000"/>
          <w:sz w:val="24"/>
          <w:szCs w:val="24"/>
          <w:lang w:eastAsia="lv-LV"/>
        </w:rPr>
        <w:t>. Nomas maksa v</w:t>
      </w:r>
      <w:r>
        <w:rPr>
          <w:rFonts w:cs="Times New Roman" w:ascii="Arial" w:hAnsi="Arial"/>
          <w:color w:val="000000"/>
          <w:sz w:val="24"/>
          <w:szCs w:val="24"/>
        </w:rPr>
        <w:t xml:space="preserve">ietās ar intensīvu gājēju plūsmu bija no 18 </w:t>
      </w:r>
      <w:r>
        <w:rPr>
          <w:rFonts w:cs="Times New Roman" w:ascii="Arial" w:hAnsi="Arial"/>
          <w:color w:val="000000"/>
          <w:sz w:val="24"/>
          <w:szCs w:val="24"/>
        </w:rPr>
        <w:t xml:space="preserve">līdz </w:t>
      </w:r>
      <w:r>
        <w:rPr>
          <w:rFonts w:cs="Times New Roman" w:ascii="Arial" w:hAnsi="Arial"/>
          <w:color w:val="000000"/>
          <w:sz w:val="24"/>
          <w:szCs w:val="24"/>
        </w:rPr>
        <w:t>30 EUR/m</w:t>
      </w:r>
      <w:r>
        <w:rPr>
          <w:rFonts w:eastAsia="FreeSans" w:cs="FreeSans" w:ascii="FreeSans" w:hAnsi="FreeSans"/>
          <w:color w:val="000000"/>
          <w:sz w:val="24"/>
          <w:szCs w:val="24"/>
        </w:rPr>
        <w:t>²</w:t>
      </w:r>
      <w:r>
        <w:rPr>
          <w:rFonts w:cs="Times New Roman" w:ascii="Arial" w:hAnsi="Arial"/>
          <w:color w:val="000000"/>
          <w:sz w:val="24"/>
          <w:szCs w:val="24"/>
        </w:rPr>
        <w:t>, bet bija manāmi arī piedāvājumi ar nomas maksu 20-25 EUR/m</w:t>
      </w:r>
      <w:r>
        <w:rPr>
          <w:rFonts w:eastAsia="FreeSans" w:cs="FreeSans" w:ascii="FreeSans" w:hAnsi="FreeSans"/>
          <w:color w:val="000000"/>
          <w:sz w:val="24"/>
          <w:szCs w:val="24"/>
        </w:rPr>
        <w:t>²</w:t>
      </w:r>
      <w:r>
        <w:rPr>
          <w:rFonts w:cs="Times New Roman" w:ascii="Arial" w:hAnsi="Arial"/>
          <w:color w:val="000000"/>
          <w:sz w:val="24"/>
          <w:szCs w:val="24"/>
        </w:rPr>
        <w:t xml:space="preserve"> ekskluzīvākām telpām prestižākās ēkās.</w:t>
      </w:r>
    </w:p>
    <w:p>
      <w:pPr>
        <w:pStyle w:val="Normal"/>
        <w:spacing w:lineRule="auto" w:line="240"/>
        <w:ind w:hanging="0"/>
        <w:jc w:val="both"/>
        <w:rPr>
          <w:rFonts w:ascii="Arial" w:hAnsi="Arial"/>
        </w:rPr>
      </w:pPr>
      <w:r>
        <w:rPr>
          <w:rFonts w:eastAsia="Times New Roman" w:cs="Times New Roman" w:ascii="Arial" w:hAnsi="Arial"/>
          <w:sz w:val="24"/>
          <w:szCs w:val="24"/>
          <w:lang w:eastAsia="lv-LV"/>
        </w:rPr>
        <w:t>Rīgas centra apkārtnē tirdzniecības telpas tik</w:t>
      </w:r>
      <w:r>
        <w:rPr>
          <w:rFonts w:eastAsia="Times New Roman" w:cs="Times New Roman" w:ascii="Arial" w:hAnsi="Arial"/>
          <w:sz w:val="24"/>
          <w:szCs w:val="24"/>
          <w:lang w:eastAsia="lv-LV"/>
        </w:rPr>
        <w:t>a</w:t>
      </w:r>
      <w:r>
        <w:rPr>
          <w:rFonts w:eastAsia="Times New Roman" w:cs="Times New Roman" w:ascii="Arial" w:hAnsi="Arial"/>
          <w:sz w:val="24"/>
          <w:szCs w:val="24"/>
          <w:lang w:eastAsia="lv-LV"/>
        </w:rPr>
        <w:t xml:space="preserve"> piedāvātas par vidēji 8-10 EUR/m</w:t>
      </w:r>
      <w:r>
        <w:rPr>
          <w:rFonts w:eastAsia="FreeSans" w:cs="FreeSans" w:ascii="FreeSans" w:hAnsi="FreeSans"/>
          <w:sz w:val="24"/>
          <w:szCs w:val="24"/>
          <w:lang w:eastAsia="lv-LV"/>
        </w:rPr>
        <w:t>²</w:t>
      </w:r>
      <w:r>
        <w:rPr>
          <w:rFonts w:eastAsia="Times New Roman" w:cs="Times New Roman" w:ascii="Arial" w:hAnsi="Arial"/>
          <w:sz w:val="24"/>
          <w:szCs w:val="24"/>
          <w:lang w:eastAsia="lv-LV"/>
        </w:rPr>
        <w:t>. Savukārt mikrorajonos nomas maksas krasi atšķ</w:t>
      </w:r>
      <w:r>
        <w:rPr>
          <w:rFonts w:eastAsia="Times New Roman" w:cs="Times New Roman" w:ascii="Arial" w:hAnsi="Arial"/>
          <w:sz w:val="24"/>
          <w:szCs w:val="24"/>
          <w:lang w:eastAsia="lv-LV"/>
        </w:rPr>
        <w:t xml:space="preserve">īrās </w:t>
      </w:r>
      <w:r>
        <w:rPr>
          <w:rFonts w:eastAsia="Times New Roman" w:cs="Times New Roman" w:ascii="Arial" w:hAnsi="Arial"/>
          <w:sz w:val="24"/>
          <w:szCs w:val="24"/>
          <w:lang w:eastAsia="lv-LV"/>
        </w:rPr>
        <w:t xml:space="preserve">un tika piedāvātas diapazonā no 6 </w:t>
      </w:r>
      <w:r>
        <w:rPr>
          <w:rFonts w:eastAsia="Times New Roman" w:cs="Times New Roman" w:ascii="Arial" w:hAnsi="Arial"/>
          <w:sz w:val="24"/>
          <w:szCs w:val="24"/>
          <w:lang w:eastAsia="lv-LV"/>
        </w:rPr>
        <w:t>līdz 1</w:t>
      </w:r>
      <w:r>
        <w:rPr>
          <w:rFonts w:eastAsia="Times New Roman" w:cs="Times New Roman" w:ascii="Arial" w:hAnsi="Arial"/>
          <w:sz w:val="24"/>
          <w:szCs w:val="24"/>
          <w:lang w:eastAsia="lv-LV"/>
        </w:rPr>
        <w:t>0 EUR/m</w:t>
      </w:r>
      <w:r>
        <w:rPr>
          <w:rFonts w:eastAsia="FreeSans" w:cs="FreeSans" w:ascii="FreeSans" w:hAnsi="FreeSans"/>
          <w:sz w:val="24"/>
          <w:szCs w:val="24"/>
          <w:lang w:eastAsia="lv-LV"/>
        </w:rPr>
        <w:t>²</w:t>
      </w:r>
      <w:r>
        <w:rPr>
          <w:rFonts w:eastAsia="Times New Roman" w:cs="Times New Roman" w:ascii="Arial" w:hAnsi="Arial"/>
          <w:sz w:val="24"/>
          <w:szCs w:val="24"/>
          <w:lang w:eastAsia="lv-LV"/>
        </w:rPr>
        <w:t>.</w:t>
      </w:r>
    </w:p>
    <w:p>
      <w:pPr>
        <w:pStyle w:val="Normal"/>
        <w:spacing w:lineRule="auto" w:line="240"/>
        <w:jc w:val="both"/>
        <w:rPr>
          <w:rFonts w:ascii="Arial" w:hAnsi="Arial"/>
        </w:rPr>
      </w:pPr>
      <w:r>
        <w:rPr>
          <w:rFonts w:eastAsia="Times New Roman" w:cs="Times New Roman" w:ascii="Arial" w:hAnsi="Arial"/>
          <w:b/>
          <w:sz w:val="24"/>
          <w:szCs w:val="24"/>
          <w:lang w:eastAsia="lv-LV"/>
        </w:rPr>
        <w:t>Tirdzniecības telpu vidējās nomas maksas, EUR/m²</w:t>
      </w:r>
    </w:p>
    <w:p>
      <w:pPr>
        <w:pStyle w:val="Normal"/>
        <w:spacing w:lineRule="auto" w:line="240" w:before="0" w:after="160"/>
        <w:jc w:val="both"/>
        <w:rPr>
          <w:rFonts w:ascii="Arial" w:hAnsi="Arial"/>
        </w:rPr>
      </w:pPr>
      <w:r>
        <w:rPr>
          <w:rFonts w:ascii="Arial" w:hAnsi="Arial"/>
        </w:rPr>
        <w:drawing>
          <wp:inline distT="0" distB="0" distL="0" distR="0">
            <wp:extent cx="6191885" cy="2192655"/>
            <wp:effectExtent l="0" t="0" r="0" b="0"/>
            <wp:docPr id="8" name="Object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eastAsia="Times New Roman" w:cs="Times New Roman" w:ascii="Arial" w:hAnsi="Arial"/>
          <w:sz w:val="24"/>
          <w:szCs w:val="24"/>
          <w:highlight w:val="yellow"/>
          <w:lang w:eastAsia="lv-LV"/>
        </w:rPr>
        <w:t xml:space="preserve"> </w:t>
      </w:r>
    </w:p>
    <w:sectPr>
      <w:headerReference w:type="default" r:id="rId11"/>
      <w:footerReference w:type="even" r:id="rId12"/>
      <w:footerReference w:type="default" r:id="rId13"/>
      <w:footerReference w:type="first" r:id="rId14"/>
      <w:type w:val="nextPage"/>
      <w:pgSz w:w="11906" w:h="16838"/>
      <w:pgMar w:left="1134" w:right="1021" w:gutter="0" w:header="907" w:top="2167" w:footer="113" w:bottom="6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OpenSymbol">
    <w:altName w:val="Arial Unicode MS"/>
    <w:charset w:val="02"/>
    <w:family w:val="auto"/>
    <w:pitch w:val="default"/>
  </w:font>
  <w:font w:name="Liberation Sans">
    <w:altName w:val="Arial"/>
    <w:charset w:val="01"/>
    <w:family w:val="swiss"/>
    <w:pitch w:val="variable"/>
  </w:font>
  <w:font w:name="Calibri">
    <w:charset w:val="01"/>
    <w:family w:val="swiss"/>
    <w:pitch w:val="variable"/>
  </w:font>
  <w:font w:name="Times New Roman">
    <w:charset w:val="01"/>
    <w:family w:val="roman"/>
    <w:pitch w:val="variable"/>
  </w:font>
  <w:font w:name="Arial">
    <w:charset w:val="01"/>
    <w:family w:val="swiss"/>
    <w:pitch w:val="variable"/>
  </w:font>
  <w:font w:name="Liberation Serif">
    <w:altName w:val="Times New Roman"/>
    <w:charset w:val="01"/>
    <w:family w:val="roman"/>
    <w:pitch w:val="default"/>
  </w:font>
  <w:font w:name="FreeSans">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05283818"/>
    </w:sdtPr>
    <w:sdtContent>
      <w:p>
        <w:pPr>
          <w:pStyle w:val="Footer"/>
          <w:jc w:val="right"/>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05283818"/>
    </w:sdtPr>
    <w:sdtContent>
      <w:p>
        <w:pPr>
          <w:pStyle w:val="Footer"/>
          <w:jc w:val="right"/>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0" distT="0" distB="0" distL="0" distR="0" simplePos="0" locked="0" layoutInCell="0" allowOverlap="1" relativeHeight="18">
          <wp:simplePos x="0" y="0"/>
          <wp:positionH relativeFrom="column">
            <wp:align>center</wp:align>
          </wp:positionH>
          <wp:positionV relativeFrom="paragraph">
            <wp:posOffset>635</wp:posOffset>
          </wp:positionV>
          <wp:extent cx="2426970" cy="230505"/>
          <wp:effectExtent l="0" t="0" r="0" b="0"/>
          <wp:wrapSquare wrapText="largest"/>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
                  <a:stretch>
                    <a:fillRect/>
                  </a:stretch>
                </pic:blipFill>
                <pic:spPr bwMode="auto">
                  <a:xfrm>
                    <a:off x="0" y="0"/>
                    <a:ext cx="2426970" cy="2305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5f68"/>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4f5f68"/>
    <w:rPr>
      <w:b/>
      <w:bCs/>
    </w:rPr>
  </w:style>
  <w:style w:type="character" w:styleId="Hyperlink">
    <w:name w:val="Hyperlink"/>
    <w:basedOn w:val="DefaultParagraphFont"/>
    <w:uiPriority w:val="99"/>
    <w:unhideWhenUsed/>
    <w:rsid w:val="002e3eb0"/>
    <w:rPr>
      <w:color w:val="0000FF"/>
      <w:u w:val="single"/>
    </w:rPr>
  </w:style>
  <w:style w:type="character" w:styleId="HeaderChar" w:customStyle="1">
    <w:name w:val="Header Char"/>
    <w:basedOn w:val="DefaultParagraphFont"/>
    <w:link w:val="Header"/>
    <w:uiPriority w:val="99"/>
    <w:qFormat/>
    <w:rsid w:val="0046480d"/>
    <w:rPr/>
  </w:style>
  <w:style w:type="character" w:styleId="FooterChar" w:customStyle="1">
    <w:name w:val="Footer Char"/>
    <w:basedOn w:val="DefaultParagraphFont"/>
    <w:link w:val="Footer"/>
    <w:uiPriority w:val="99"/>
    <w:qFormat/>
    <w:rsid w:val="0046480d"/>
    <w:rPr/>
  </w:style>
  <w:style w:type="character" w:styleId="BalloonTextChar" w:customStyle="1">
    <w:name w:val="Balloon Text Char"/>
    <w:basedOn w:val="DefaultParagraphFont"/>
    <w:link w:val="BalloonText"/>
    <w:uiPriority w:val="99"/>
    <w:semiHidden/>
    <w:qFormat/>
    <w:rsid w:val="0054412c"/>
    <w:rPr>
      <w:rFonts w:ascii="Tahoma" w:hAnsi="Tahoma" w:cs="Tahoma"/>
      <w:sz w:val="16"/>
      <w:szCs w:val="16"/>
    </w:rPr>
  </w:style>
  <w:style w:type="character" w:styleId="CommentReference">
    <w:name w:val="annotation reference"/>
    <w:basedOn w:val="DefaultParagraphFont"/>
    <w:uiPriority w:val="99"/>
    <w:semiHidden/>
    <w:unhideWhenUsed/>
    <w:qFormat/>
    <w:rsid w:val="004673c3"/>
    <w:rPr>
      <w:sz w:val="16"/>
      <w:szCs w:val="16"/>
    </w:rPr>
  </w:style>
  <w:style w:type="character" w:styleId="CommentTextChar" w:customStyle="1">
    <w:name w:val="Comment Text Char"/>
    <w:basedOn w:val="DefaultParagraphFont"/>
    <w:link w:val="CommentText"/>
    <w:uiPriority w:val="99"/>
    <w:semiHidden/>
    <w:qFormat/>
    <w:rsid w:val="004673c3"/>
    <w:rPr>
      <w:sz w:val="20"/>
      <w:szCs w:val="20"/>
    </w:rPr>
  </w:style>
  <w:style w:type="character" w:styleId="CommentSubjectChar" w:customStyle="1">
    <w:name w:val="Comment Subject Char"/>
    <w:basedOn w:val="CommentTextChar"/>
    <w:link w:val="annotationsubject"/>
    <w:uiPriority w:val="99"/>
    <w:semiHidden/>
    <w:qFormat/>
    <w:rsid w:val="004673c3"/>
    <w:rPr>
      <w:b/>
      <w:bCs/>
      <w:sz w:val="20"/>
      <w:szCs w:val="20"/>
    </w:rPr>
  </w:style>
  <w:style w:type="character" w:styleId="UnresolvedMention1" w:customStyle="1">
    <w:name w:val="Unresolved Mention1"/>
    <w:basedOn w:val="DefaultParagraphFont"/>
    <w:uiPriority w:val="99"/>
    <w:semiHidden/>
    <w:unhideWhenUsed/>
    <w:qFormat/>
    <w:rsid w:val="00364be9"/>
    <w:rPr>
      <w:color w:val="605E5C"/>
      <w:shd w:fill="E1DFDD" w:val="clear"/>
    </w:rPr>
  </w:style>
  <w:style w:type="character" w:styleId="EndnoteTextChar" w:customStyle="1">
    <w:name w:val="Endnote Text Char"/>
    <w:basedOn w:val="DefaultParagraphFont"/>
    <w:link w:val="EndnoteText"/>
    <w:uiPriority w:val="99"/>
    <w:semiHidden/>
    <w:qFormat/>
    <w:rsid w:val="00b862c3"/>
    <w:rPr>
      <w:sz w:val="20"/>
      <w:szCs w:val="20"/>
    </w:rPr>
  </w:style>
  <w:style w:type="character" w:styleId="EndnoteCharacters">
    <w:name w:val="Endnote Characters"/>
    <w:basedOn w:val="DefaultParagraphFont"/>
    <w:uiPriority w:val="99"/>
    <w:semiHidden/>
    <w:unhideWhenUsed/>
    <w:qFormat/>
    <w:rsid w:val="00b862c3"/>
    <w:rPr>
      <w:vertAlign w:val="superscript"/>
    </w:rPr>
  </w:style>
  <w:style w:type="character" w:styleId="EndnoteReference">
    <w:name w:val="endnote reference"/>
    <w:rPr>
      <w:vertAlign w:val="superscript"/>
    </w:rPr>
  </w:style>
  <w:style w:type="character" w:styleId="UnresolvedMention" w:customStyle="1">
    <w:name w:val="Unresolved Mention"/>
    <w:basedOn w:val="DefaultParagraphFont"/>
    <w:uiPriority w:val="99"/>
    <w:semiHidden/>
    <w:unhideWhenUsed/>
    <w:qFormat/>
    <w:rsid w:val="00f44979"/>
    <w:rPr>
      <w:color w:val="605E5C"/>
      <w:shd w:fill="E1DFDD" w:val="clear"/>
    </w:rPr>
  </w:style>
  <w:style w:type="character" w:styleId="FollowedHyperlink">
    <w:name w:val="FollowedHyperlink"/>
    <w:basedOn w:val="DefaultParagraphFont"/>
    <w:uiPriority w:val="99"/>
    <w:semiHidden/>
    <w:unhideWhenUsed/>
    <w:rsid w:val="00d95f31"/>
    <w:rPr>
      <w:color w:themeColor="followedHyperlink" w:val="954F72"/>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4f5f68"/>
    <w:pPr>
      <w:spacing w:before="0" w:after="160"/>
      <w:ind w:left="720"/>
      <w:contextualSpacing/>
    </w:pPr>
    <w:rPr>
      <w:rFonts w:ascii="Calibri" w:hAnsi="Calibri" w:eastAsia="Calibri" w:cs="Times New Roman"/>
    </w:rPr>
  </w:style>
  <w:style w:type="paragraph" w:styleId="NormalWeb">
    <w:name w:val="Normal (Web)"/>
    <w:basedOn w:val="Normal"/>
    <w:uiPriority w:val="99"/>
    <w:unhideWhenUsed/>
    <w:qFormat/>
    <w:rsid w:val="002e3eb0"/>
    <w:pPr>
      <w:spacing w:lineRule="auto" w:line="240" w:beforeAutospacing="1" w:afterAutospacing="1"/>
    </w:pPr>
    <w:rPr>
      <w:rFonts w:ascii="Times New Roman" w:hAnsi="Times New Roman" w:eastAsia="Times New Roman" w:cs="Times New Roman"/>
      <w:sz w:val="24"/>
      <w:szCs w:val="24"/>
      <w:lang w:eastAsia="lv-LV"/>
    </w:rPr>
  </w:style>
  <w:style w:type="paragraph" w:styleId="HeaderandFooter">
    <w:name w:val="Header and Footer"/>
    <w:basedOn w:val="Normal"/>
    <w:qFormat/>
    <w:pPr/>
    <w:rPr/>
  </w:style>
  <w:style w:type="paragraph" w:styleId="Header">
    <w:name w:val="header"/>
    <w:basedOn w:val="Normal"/>
    <w:link w:val="HeaderChar"/>
    <w:uiPriority w:val="99"/>
    <w:unhideWhenUsed/>
    <w:rsid w:val="0046480d"/>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46480d"/>
    <w:pPr>
      <w:tabs>
        <w:tab w:val="clear" w:pos="720"/>
        <w:tab w:val="center" w:pos="4153" w:leader="none"/>
        <w:tab w:val="right" w:pos="8306" w:leader="none"/>
      </w:tabs>
      <w:spacing w:lineRule="auto" w:line="240" w:before="0" w:after="0"/>
    </w:pPr>
    <w:rPr/>
  </w:style>
  <w:style w:type="paragraph" w:styleId="Revision">
    <w:name w:val="Revision"/>
    <w:uiPriority w:val="99"/>
    <w:semiHidden/>
    <w:qFormat/>
    <w:rsid w:val="00c56000"/>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lv-LV" w:eastAsia="en-US" w:bidi="ar-SA"/>
    </w:rPr>
  </w:style>
  <w:style w:type="paragraph" w:styleId="BalloonText">
    <w:name w:val="Balloon Text"/>
    <w:basedOn w:val="Normal"/>
    <w:link w:val="BalloonTextChar"/>
    <w:uiPriority w:val="99"/>
    <w:semiHidden/>
    <w:unhideWhenUsed/>
    <w:qFormat/>
    <w:rsid w:val="0054412c"/>
    <w:pPr>
      <w:spacing w:lineRule="auto" w:line="240" w:before="0" w:after="0"/>
    </w:pPr>
    <w:rPr>
      <w:rFonts w:ascii="Tahoma" w:hAnsi="Tahoma" w:cs="Tahoma"/>
      <w:sz w:val="16"/>
      <w:szCs w:val="16"/>
    </w:rPr>
  </w:style>
  <w:style w:type="paragraph" w:styleId="CommentText">
    <w:name w:val="annotation text"/>
    <w:basedOn w:val="Normal"/>
    <w:link w:val="CommentTextChar"/>
    <w:uiPriority w:val="99"/>
    <w:semiHidden/>
    <w:unhideWhenUsed/>
    <w:rsid w:val="004673c3"/>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4673c3"/>
    <w:pPr/>
    <w:rPr>
      <w:b/>
      <w:bCs/>
    </w:rPr>
  </w:style>
  <w:style w:type="paragraph" w:styleId="EndnoteText">
    <w:name w:val="endnote text"/>
    <w:basedOn w:val="Normal"/>
    <w:link w:val="EndnoteTextChar"/>
    <w:uiPriority w:val="99"/>
    <w:semiHidden/>
    <w:unhideWhenUsed/>
    <w:rsid w:val="00b862c3"/>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image" Target="media/image1.png"/><Relationship Id="rId7" Type="http://schemas.openxmlformats.org/officeDocument/2006/relationships/hyperlink" Target="https://www.ur.gov.lv/lv/jaunumi/statistika/" TargetMode="Externa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Series1</c:v>
                </c:pt>
              </c:strCache>
            </c:strRef>
          </c:tx>
          <c:spPr>
            <a:solidFill>
              <a:srgbClr val="4472c4"/>
            </a:solidFill>
            <a:ln w="0">
              <a:noFill/>
            </a:ln>
          </c:spPr>
          <c:invertIfNegative val="0"/>
          <c:dLbls>
            <c:numFmt formatCode="&quot;_-&quot;[$€-426]\ * #\ ##0.00&quot; _-&quot;;\-[$€-426]\ * #\ ##0.00&quot; _-&quot;;&quot;_-&quot;[$€-426]\ * \-??&quot; _-&quot;;_-@_-"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multiLvlStrRef>
              <c:f>categories</c:f>
              <c:multiLvlStrCache>
                <c:ptCount val="14"/>
                <c:lvl>
                  <c:pt idx="0">
                    <c:v>CBR</c:v>
                  </c:pt>
                  <c:pt idx="1">
                    <c:v>CBR</c:v>
                  </c:pt>
                  <c:pt idx="2">
                    <c:v>CBR</c:v>
                  </c:pt>
                  <c:pt idx="3">
                    <c:v>CBR</c:v>
                  </c:pt>
                  <c:pt idx="4">
                    <c:v>CBR</c:v>
                  </c:pt>
                  <c:pt idx="5">
                    <c:v>CBR</c:v>
                  </c:pt>
                  <c:pt idx="6">
                    <c:v>CBR</c:v>
                  </c:pt>
                  <c:pt idx="7">
                    <c:v>CBR</c:v>
                  </c:pt>
                  <c:pt idx="8">
                    <c:v>CBR</c:v>
                  </c:pt>
                  <c:pt idx="9">
                    <c:v>CBR</c:v>
                  </c:pt>
                  <c:pt idx="10">
                    <c:v>CBR</c:v>
                  </c:pt>
                  <c:pt idx="11">
                    <c:v>CBR</c:v>
                  </c:pt>
                  <c:pt idx="12">
                    <c:v>CBR</c:v>
                  </c:pt>
                  <c:pt idx="13">
                    <c:v>CBR</c:v>
                  </c:pt>
                </c:lvl>
                <c:lvl>
                  <c:pt idx="0">
                    <c:v>1. pusgads</c:v>
                  </c:pt>
                  <c:pt idx="1">
                    <c:v>2. pusgads</c:v>
                  </c:pt>
                  <c:pt idx="2">
                    <c:v>1. pusgads</c:v>
                  </c:pt>
                  <c:pt idx="3">
                    <c:v>2. pusgads</c:v>
                  </c:pt>
                  <c:pt idx="4">
                    <c:v>1. pusgads</c:v>
                  </c:pt>
                  <c:pt idx="5">
                    <c:v>2. pusgads</c:v>
                  </c:pt>
                  <c:pt idx="6">
                    <c:v>1. pusgads</c:v>
                  </c:pt>
                  <c:pt idx="7">
                    <c:v>2. pusgads</c:v>
                  </c:pt>
                  <c:pt idx="8">
                    <c:v>1. pusgads</c:v>
                  </c:pt>
                  <c:pt idx="9">
                    <c:v>2. pusgads</c:v>
                  </c:pt>
                  <c:pt idx="10">
                    <c:v>1. pusgads</c:v>
                  </c:pt>
                  <c:pt idx="11">
                    <c:v>2. pusgads</c:v>
                  </c:pt>
                  <c:pt idx="12">
                    <c:v>1. pusgads</c:v>
                  </c:pt>
                  <c:pt idx="13">
                    <c:v>2. pusgads</c:v>
                  </c:pt>
                </c:lvl>
                <c:lvl>
                  <c:pt idx="0">
                    <c:v>2019</c:v>
                  </c:pt>
                  <c:pt idx="2">
                    <c:v>2020</c:v>
                  </c:pt>
                  <c:pt idx="4">
                    <c:v>2021</c:v>
                  </c:pt>
                  <c:pt idx="6">
                    <c:v>2022</c:v>
                  </c:pt>
                  <c:pt idx="8">
                    <c:v>2023</c:v>
                  </c:pt>
                  <c:pt idx="10">
                    <c:v>2024</c:v>
                  </c:pt>
                  <c:pt idx="12">
                    <c:v>2025</c:v>
                  </c:pt>
                </c:lvl>
              </c:multiLvlStrCache>
            </c:multiLvlStrRef>
          </c:cat>
          <c:val>
            <c:numRef>
              <c:f>0</c:f>
              <c:numCache>
                <c:formatCode>General</c:formatCode>
                <c:ptCount val="14"/>
                <c:pt idx="0">
                  <c:v>15</c:v>
                </c:pt>
                <c:pt idx="1">
                  <c:v>15.5</c:v>
                </c:pt>
                <c:pt idx="2">
                  <c:v>16</c:v>
                </c:pt>
                <c:pt idx="3">
                  <c:v>16</c:v>
                </c:pt>
                <c:pt idx="4">
                  <c:v>16</c:v>
                </c:pt>
                <c:pt idx="5">
                  <c:v>16</c:v>
                </c:pt>
                <c:pt idx="6">
                  <c:v>16</c:v>
                </c:pt>
                <c:pt idx="7">
                  <c:v>15.5</c:v>
                </c:pt>
                <c:pt idx="8">
                  <c:v>15.5</c:v>
                </c:pt>
                <c:pt idx="9">
                  <c:v>15</c:v>
                </c:pt>
                <c:pt idx="10">
                  <c:v>16</c:v>
                </c:pt>
                <c:pt idx="11">
                  <c:v>16</c:v>
                </c:pt>
                <c:pt idx="12">
                  <c:v>16</c:v>
                </c:pt>
                <c:pt idx="13">
                  <c:v>16.5</c:v>
                </c:pt>
              </c:numCache>
            </c:numRef>
          </c:val>
        </c:ser>
        <c:gapWidth val="219"/>
        <c:overlap val="-27"/>
        <c:axId val="84369983"/>
        <c:axId val="98882173"/>
      </c:barChart>
      <c:catAx>
        <c:axId val="8436998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Calibri"/>
              </a:defRPr>
            </a:pPr>
          </a:p>
        </c:txPr>
        <c:crossAx val="98882173"/>
        <c:crosses val="autoZero"/>
        <c:auto val="1"/>
        <c:lblAlgn val="ctr"/>
        <c:lblOffset val="100"/>
        <c:noMultiLvlLbl val="0"/>
      </c:catAx>
      <c:valAx>
        <c:axId val="98882173"/>
        <c:scaling>
          <c:orientation val="minMax"/>
        </c:scaling>
        <c:delete val="0"/>
        <c:axPos val="l"/>
        <c:majorGridlines>
          <c:spPr>
            <a:ln w="9360">
              <a:solidFill>
                <a:srgbClr val="d9d9d9"/>
              </a:solidFill>
              <a:round/>
            </a:ln>
          </c:spPr>
        </c:majorGridlines>
        <c:numFmt formatCode="&quot;_-&quot;[$€-426]\ * #\ ##0.00&quot; _-&quot;;\-[$€-426]\ * #\ ##0.00&quot; _-&quot;;&quot;_-&quot;[$€-426]\ * \-??&quot; _-&quot;;_-@_-" sourceLinked="0"/>
        <c:majorTickMark val="none"/>
        <c:minorTickMark val="none"/>
        <c:tickLblPos val="nextTo"/>
        <c:spPr>
          <a:ln w="6480">
            <a:noFill/>
          </a:ln>
        </c:spPr>
        <c:txPr>
          <a:bodyPr/>
          <a:lstStyle/>
          <a:p>
            <a:pPr>
              <a:defRPr b="0" sz="900" strike="noStrike" u="none">
                <a:solidFill>
                  <a:srgbClr val="595959"/>
                </a:solidFill>
                <a:uFillTx/>
                <a:latin typeface="Calibri"/>
              </a:defRPr>
            </a:pPr>
          </a:p>
        </c:txPr>
        <c:crossAx val="84369983"/>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Series1</c:v>
                </c:pt>
              </c:strCache>
            </c:strRef>
          </c:tx>
          <c:spPr>
            <a:solidFill>
              <a:srgbClr val="ffc000"/>
            </a:solidFill>
            <a:ln w="0">
              <a:noFill/>
            </a:ln>
          </c:spPr>
          <c:invertIfNegative val="0"/>
          <c:dLbls>
            <c:numFmt formatCode="&quot;_-&quot;[$€-426]\ * #\ ##0.00&quot; _-&quot;;\-[$€-426]\ * #\ ##0.00&quot; _-&quot;;&quot;_-&quot;[$€-426]\ * \-??&quot; _-&quot;;_-@_-"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multiLvlStrRef>
              <c:f>categories</c:f>
              <c:multiLvlStrCache>
                <c:ptCount val="28"/>
                <c:lvl>
                  <c:pt idx="0">
                    <c:v>CBR</c:v>
                  </c:pt>
                  <c:pt idx="1">
                    <c:v>perifērija</c:v>
                  </c:pt>
                  <c:pt idx="2">
                    <c:v>CBR</c:v>
                  </c:pt>
                  <c:pt idx="3">
                    <c:v>perifērija</c:v>
                  </c:pt>
                  <c:pt idx="4">
                    <c:v>CBR</c:v>
                  </c:pt>
                  <c:pt idx="5">
                    <c:v>perifērija</c:v>
                  </c:pt>
                  <c:pt idx="6">
                    <c:v>CBR</c:v>
                  </c:pt>
                  <c:pt idx="7">
                    <c:v>perifērija</c:v>
                  </c:pt>
                  <c:pt idx="8">
                    <c:v>CBR</c:v>
                  </c:pt>
                  <c:pt idx="9">
                    <c:v>perifērija</c:v>
                  </c:pt>
                  <c:pt idx="10">
                    <c:v>CBR</c:v>
                  </c:pt>
                  <c:pt idx="11">
                    <c:v>perifērija</c:v>
                  </c:pt>
                  <c:pt idx="12">
                    <c:v>CBR</c:v>
                  </c:pt>
                  <c:pt idx="13">
                    <c:v>perifērija</c:v>
                  </c:pt>
                  <c:pt idx="14">
                    <c:v>CBR</c:v>
                  </c:pt>
                  <c:pt idx="15">
                    <c:v>perifērija</c:v>
                  </c:pt>
                  <c:pt idx="16">
                    <c:v>CBR</c:v>
                  </c:pt>
                  <c:pt idx="17">
                    <c:v>perifērija</c:v>
                  </c:pt>
                  <c:pt idx="18">
                    <c:v>CBR</c:v>
                  </c:pt>
                  <c:pt idx="19">
                    <c:v>perifērija</c:v>
                  </c:pt>
                  <c:pt idx="20">
                    <c:v>CBR</c:v>
                  </c:pt>
                  <c:pt idx="21">
                    <c:v>perifērija</c:v>
                  </c:pt>
                  <c:pt idx="22">
                    <c:v>CBR</c:v>
                  </c:pt>
                  <c:pt idx="23">
                    <c:v>perifērija</c:v>
                  </c:pt>
                  <c:pt idx="24">
                    <c:v>CBR</c:v>
                  </c:pt>
                  <c:pt idx="25">
                    <c:v>perifērija</c:v>
                  </c:pt>
                  <c:pt idx="26">
                    <c:v>CBR</c:v>
                  </c:pt>
                  <c:pt idx="27">
                    <c:v>perifērija</c:v>
                  </c:pt>
                </c:lvl>
                <c:lvl>
                  <c:pt idx="0">
                    <c:v>1. pusgads</c:v>
                  </c:pt>
                  <c:pt idx="2">
                    <c:v>2. pusgads</c:v>
                  </c:pt>
                  <c:pt idx="4">
                    <c:v>1. pusgads</c:v>
                  </c:pt>
                  <c:pt idx="6">
                    <c:v>2. pusgads</c:v>
                  </c:pt>
                  <c:pt idx="8">
                    <c:v>1. pusgads</c:v>
                  </c:pt>
                  <c:pt idx="10">
                    <c:v>2. pusgads</c:v>
                  </c:pt>
                  <c:pt idx="12">
                    <c:v>1. pusgads</c:v>
                  </c:pt>
                  <c:pt idx="14">
                    <c:v>2. pusgads</c:v>
                  </c:pt>
                  <c:pt idx="16">
                    <c:v>1. pusgads</c:v>
                  </c:pt>
                  <c:pt idx="18">
                    <c:v>2. pusgads</c:v>
                  </c:pt>
                  <c:pt idx="20">
                    <c:v>1. pusgads</c:v>
                  </c:pt>
                  <c:pt idx="22">
                    <c:v>2. pusgads</c:v>
                  </c:pt>
                  <c:pt idx="24">
                    <c:v>1. pusgads</c:v>
                  </c:pt>
                  <c:pt idx="26">
                    <c:v>2. pusgads</c:v>
                  </c:pt>
                </c:lvl>
                <c:lvl>
                  <c:pt idx="0">
                    <c:v>2019</c:v>
                  </c:pt>
                  <c:pt idx="4">
                    <c:v>2020</c:v>
                  </c:pt>
                  <c:pt idx="8">
                    <c:v>2021</c:v>
                  </c:pt>
                  <c:pt idx="12">
                    <c:v>2022</c:v>
                  </c:pt>
                  <c:pt idx="16">
                    <c:v>2023</c:v>
                  </c:pt>
                  <c:pt idx="20">
                    <c:v>2024</c:v>
                  </c:pt>
                  <c:pt idx="24">
                    <c:v>2025</c:v>
                  </c:pt>
                </c:lvl>
              </c:multiLvlStrCache>
            </c:multiLvlStrRef>
          </c:cat>
          <c:val>
            <c:numRef>
              <c:f>0</c:f>
              <c:numCache>
                <c:formatCode>General</c:formatCode>
                <c:ptCount val="28"/>
                <c:pt idx="0">
                  <c:v>13.5</c:v>
                </c:pt>
                <c:pt idx="1">
                  <c:v>10.5</c:v>
                </c:pt>
                <c:pt idx="2">
                  <c:v>13.5</c:v>
                </c:pt>
                <c:pt idx="3">
                  <c:v>10</c:v>
                </c:pt>
                <c:pt idx="4">
                  <c:v>12</c:v>
                </c:pt>
                <c:pt idx="5">
                  <c:v>11</c:v>
                </c:pt>
                <c:pt idx="6">
                  <c:v>11.5</c:v>
                </c:pt>
                <c:pt idx="7">
                  <c:v>10</c:v>
                </c:pt>
                <c:pt idx="8">
                  <c:v>10</c:v>
                </c:pt>
                <c:pt idx="9">
                  <c:v>9</c:v>
                </c:pt>
                <c:pt idx="10">
                  <c:v>10</c:v>
                </c:pt>
                <c:pt idx="11">
                  <c:v>9</c:v>
                </c:pt>
                <c:pt idx="12">
                  <c:v>10.5</c:v>
                </c:pt>
                <c:pt idx="13">
                  <c:v>9.5</c:v>
                </c:pt>
                <c:pt idx="14">
                  <c:v>10</c:v>
                </c:pt>
                <c:pt idx="15">
                  <c:v>9</c:v>
                </c:pt>
                <c:pt idx="16">
                  <c:v>10.5</c:v>
                </c:pt>
                <c:pt idx="17">
                  <c:v>9</c:v>
                </c:pt>
                <c:pt idx="18">
                  <c:v>11</c:v>
                </c:pt>
                <c:pt idx="19">
                  <c:v>9.5</c:v>
                </c:pt>
                <c:pt idx="20">
                  <c:v>10.5</c:v>
                </c:pt>
                <c:pt idx="21">
                  <c:v>9</c:v>
                </c:pt>
                <c:pt idx="22">
                  <c:v>11</c:v>
                </c:pt>
                <c:pt idx="23">
                  <c:v>9.5</c:v>
                </c:pt>
                <c:pt idx="24">
                  <c:v>10.5</c:v>
                </c:pt>
                <c:pt idx="25">
                  <c:v>9</c:v>
                </c:pt>
                <c:pt idx="26">
                  <c:v>11</c:v>
                </c:pt>
                <c:pt idx="27">
                  <c:v>9.5</c:v>
                </c:pt>
              </c:numCache>
            </c:numRef>
          </c:val>
        </c:ser>
        <c:gapWidth val="219"/>
        <c:overlap val="-27"/>
        <c:axId val="84832730"/>
        <c:axId val="50637169"/>
      </c:barChart>
      <c:catAx>
        <c:axId val="8483273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Calibri"/>
              </a:defRPr>
            </a:pPr>
          </a:p>
        </c:txPr>
        <c:crossAx val="50637169"/>
        <c:crosses val="autoZero"/>
        <c:auto val="1"/>
        <c:lblAlgn val="ctr"/>
        <c:lblOffset val="100"/>
        <c:noMultiLvlLbl val="0"/>
      </c:catAx>
      <c:valAx>
        <c:axId val="50637169"/>
        <c:scaling>
          <c:orientation val="minMax"/>
          <c:max val="15"/>
          <c:min val="8"/>
        </c:scaling>
        <c:delete val="0"/>
        <c:axPos val="l"/>
        <c:majorGridlines>
          <c:spPr>
            <a:ln w="9360">
              <a:solidFill>
                <a:srgbClr val="d9d9d9"/>
              </a:solidFill>
              <a:round/>
            </a:ln>
          </c:spPr>
        </c:majorGridlines>
        <c:numFmt formatCode="&quot;_-&quot;[$€-426]\ * #\ ##0.00&quot; _-&quot;;\-[$€-426]\ * #\ ##0.00&quot; _-&quot;;&quot;_-&quot;[$€-426]\ * \-??&quot; _-&quot;;_-@_-" sourceLinked="0"/>
        <c:majorTickMark val="none"/>
        <c:minorTickMark val="none"/>
        <c:tickLblPos val="nextTo"/>
        <c:spPr>
          <a:ln w="6480">
            <a:noFill/>
          </a:ln>
        </c:spPr>
        <c:txPr>
          <a:bodyPr/>
          <a:lstStyle/>
          <a:p>
            <a:pPr>
              <a:defRPr b="0" sz="900" strike="noStrike" u="none">
                <a:solidFill>
                  <a:srgbClr val="595959"/>
                </a:solidFill>
                <a:uFillTx/>
                <a:latin typeface="Calibri"/>
              </a:defRPr>
            </a:pPr>
          </a:p>
        </c:txPr>
        <c:crossAx val="84832730"/>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875"/>
          <c:y val="0.148333333333333"/>
          <c:w val="0.9320625"/>
          <c:h val="0.589222222222222"/>
        </c:manualLayout>
      </c:layout>
      <c:barChart>
        <c:barDir val="col"/>
        <c:grouping val="clustered"/>
        <c:varyColors val="0"/>
        <c:ser>
          <c:idx val="0"/>
          <c:order val="0"/>
          <c:tx>
            <c:strRef>
              <c:f>label 0</c:f>
              <c:strCache>
                <c:ptCount val="1"/>
                <c:pt idx="0">
                  <c:v>Series1</c:v>
                </c:pt>
              </c:strCache>
            </c:strRef>
          </c:tx>
          <c:spPr>
            <a:solidFill>
              <a:srgbClr val="70ad47"/>
            </a:solidFill>
            <a:ln w="0">
              <a:noFill/>
            </a:ln>
          </c:spPr>
          <c:invertIfNegative val="0"/>
          <c:dLbls>
            <c:numFmt formatCode="&quot;_-&quot;[$€-426]\ * #\ ##0.00&quot; _-&quot;;\-[$€-426]\ * #\ ##0.00&quot; _-&quot;;&quot;_-&quot;[$€-426]\ * \-??&quot; _-&quot;;_-@_-"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multiLvlStrRef>
              <c:f>categories</c:f>
              <c:multiLvlStrCache>
                <c:ptCount val="28"/>
                <c:lvl>
                  <c:pt idx="0">
                    <c:v>CBR</c:v>
                  </c:pt>
                  <c:pt idx="1">
                    <c:v>perifērija</c:v>
                  </c:pt>
                  <c:pt idx="2">
                    <c:v>CBR</c:v>
                  </c:pt>
                  <c:pt idx="3">
                    <c:v>perifērija</c:v>
                  </c:pt>
                  <c:pt idx="4">
                    <c:v>CBR</c:v>
                  </c:pt>
                  <c:pt idx="5">
                    <c:v>perifērija</c:v>
                  </c:pt>
                  <c:pt idx="6">
                    <c:v>CBR</c:v>
                  </c:pt>
                  <c:pt idx="7">
                    <c:v>perifērija</c:v>
                  </c:pt>
                  <c:pt idx="8">
                    <c:v>CBR</c:v>
                  </c:pt>
                  <c:pt idx="9">
                    <c:v>perifērija</c:v>
                  </c:pt>
                  <c:pt idx="10">
                    <c:v>CBR</c:v>
                  </c:pt>
                  <c:pt idx="11">
                    <c:v>perifērija</c:v>
                  </c:pt>
                  <c:pt idx="12">
                    <c:v>CBR</c:v>
                  </c:pt>
                  <c:pt idx="13">
                    <c:v>perifērija</c:v>
                  </c:pt>
                  <c:pt idx="14">
                    <c:v>CBR</c:v>
                  </c:pt>
                  <c:pt idx="15">
                    <c:v>perifērija</c:v>
                  </c:pt>
                  <c:pt idx="16">
                    <c:v>CBR</c:v>
                  </c:pt>
                  <c:pt idx="17">
                    <c:v>perifērija</c:v>
                  </c:pt>
                  <c:pt idx="18">
                    <c:v>CBR</c:v>
                  </c:pt>
                  <c:pt idx="19">
                    <c:v>perifērija</c:v>
                  </c:pt>
                  <c:pt idx="20">
                    <c:v>CBR</c:v>
                  </c:pt>
                  <c:pt idx="21">
                    <c:v>perifērija</c:v>
                  </c:pt>
                  <c:pt idx="22">
                    <c:v>CBR</c:v>
                  </c:pt>
                  <c:pt idx="23">
                    <c:v>perifērija</c:v>
                  </c:pt>
                  <c:pt idx="24">
                    <c:v>CBR</c:v>
                  </c:pt>
                  <c:pt idx="25">
                    <c:v>perifērija</c:v>
                  </c:pt>
                  <c:pt idx="26">
                    <c:v>CBR</c:v>
                  </c:pt>
                  <c:pt idx="27">
                    <c:v>perifērija</c:v>
                  </c:pt>
                </c:lvl>
                <c:lvl>
                  <c:pt idx="0">
                    <c:v>1. pusgads</c:v>
                  </c:pt>
                  <c:pt idx="2">
                    <c:v>2. pusgads</c:v>
                  </c:pt>
                  <c:pt idx="4">
                    <c:v>1. pusgads</c:v>
                  </c:pt>
                  <c:pt idx="6">
                    <c:v>2. pusgads</c:v>
                  </c:pt>
                  <c:pt idx="8">
                    <c:v>1. pusgads</c:v>
                  </c:pt>
                  <c:pt idx="10">
                    <c:v>2. pusgads</c:v>
                  </c:pt>
                  <c:pt idx="12">
                    <c:v>1. pusgads</c:v>
                  </c:pt>
                  <c:pt idx="14">
                    <c:v>2. pusgads</c:v>
                  </c:pt>
                  <c:pt idx="16">
                    <c:v>1. pusgads</c:v>
                  </c:pt>
                  <c:pt idx="18">
                    <c:v>2. pusgads</c:v>
                  </c:pt>
                  <c:pt idx="20">
                    <c:v>1. pusgads</c:v>
                  </c:pt>
                  <c:pt idx="22">
                    <c:v>2. pusgads</c:v>
                  </c:pt>
                  <c:pt idx="24">
                    <c:v>1. pusgads</c:v>
                  </c:pt>
                  <c:pt idx="26">
                    <c:v>2. pusgads</c:v>
                  </c:pt>
                </c:lvl>
                <c:lvl>
                  <c:pt idx="0">
                    <c:v>2019</c:v>
                  </c:pt>
                  <c:pt idx="4">
                    <c:v>2020</c:v>
                  </c:pt>
                  <c:pt idx="8">
                    <c:v>2021</c:v>
                  </c:pt>
                  <c:pt idx="12">
                    <c:v>2022</c:v>
                  </c:pt>
                  <c:pt idx="16">
                    <c:v>2023</c:v>
                  </c:pt>
                  <c:pt idx="20">
                    <c:v>2024</c:v>
                  </c:pt>
                  <c:pt idx="24">
                    <c:v>2025</c:v>
                  </c:pt>
                </c:lvl>
              </c:multiLvlStrCache>
            </c:multiLvlStrRef>
          </c:cat>
          <c:val>
            <c:numRef>
              <c:f>0</c:f>
              <c:numCache>
                <c:formatCode>General</c:formatCode>
                <c:ptCount val="28"/>
                <c:pt idx="0">
                  <c:v>9</c:v>
                </c:pt>
                <c:pt idx="1">
                  <c:v>7</c:v>
                </c:pt>
                <c:pt idx="2">
                  <c:v>9</c:v>
                </c:pt>
                <c:pt idx="3">
                  <c:v>7.5</c:v>
                </c:pt>
                <c:pt idx="4">
                  <c:v>10</c:v>
                </c:pt>
                <c:pt idx="5">
                  <c:v>9</c:v>
                </c:pt>
                <c:pt idx="6">
                  <c:v>9</c:v>
                </c:pt>
                <c:pt idx="7">
                  <c:v>8</c:v>
                </c:pt>
                <c:pt idx="8">
                  <c:v>8</c:v>
                </c:pt>
                <c:pt idx="9">
                  <c:v>7</c:v>
                </c:pt>
                <c:pt idx="10">
                  <c:v>8</c:v>
                </c:pt>
                <c:pt idx="11">
                  <c:v>7</c:v>
                </c:pt>
                <c:pt idx="12">
                  <c:v>8</c:v>
                </c:pt>
                <c:pt idx="13">
                  <c:v>7.5</c:v>
                </c:pt>
                <c:pt idx="14">
                  <c:v>8</c:v>
                </c:pt>
                <c:pt idx="15">
                  <c:v>7</c:v>
                </c:pt>
                <c:pt idx="16">
                  <c:v>7</c:v>
                </c:pt>
                <c:pt idx="17">
                  <c:v>8</c:v>
                </c:pt>
                <c:pt idx="18">
                  <c:v>7.5</c:v>
                </c:pt>
                <c:pt idx="19">
                  <c:v>8</c:v>
                </c:pt>
                <c:pt idx="20">
                  <c:v>9</c:v>
                </c:pt>
                <c:pt idx="21">
                  <c:v>8</c:v>
                </c:pt>
                <c:pt idx="22">
                  <c:v>9</c:v>
                </c:pt>
                <c:pt idx="23">
                  <c:v>8</c:v>
                </c:pt>
                <c:pt idx="24">
                  <c:v>9.5</c:v>
                </c:pt>
                <c:pt idx="25">
                  <c:v>9</c:v>
                </c:pt>
                <c:pt idx="26">
                  <c:v>10</c:v>
                </c:pt>
                <c:pt idx="27">
                  <c:v>9</c:v>
                </c:pt>
              </c:numCache>
            </c:numRef>
          </c:val>
        </c:ser>
        <c:gapWidth val="219"/>
        <c:overlap val="-27"/>
        <c:axId val="28928094"/>
        <c:axId val="66409437"/>
      </c:barChart>
      <c:catAx>
        <c:axId val="2892809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Calibri"/>
              </a:defRPr>
            </a:pPr>
          </a:p>
        </c:txPr>
        <c:crossAx val="66409437"/>
        <c:crosses val="autoZero"/>
        <c:auto val="1"/>
        <c:lblAlgn val="ctr"/>
        <c:lblOffset val="100"/>
        <c:noMultiLvlLbl val="0"/>
      </c:catAx>
      <c:valAx>
        <c:axId val="66409437"/>
        <c:scaling>
          <c:orientation val="minMax"/>
          <c:min val="5"/>
        </c:scaling>
        <c:delete val="0"/>
        <c:axPos val="l"/>
        <c:majorGridlines>
          <c:spPr>
            <a:ln w="9360">
              <a:solidFill>
                <a:srgbClr val="d9d9d9"/>
              </a:solidFill>
              <a:round/>
            </a:ln>
          </c:spPr>
        </c:majorGridlines>
        <c:numFmt formatCode="&quot;_-&quot;[$€-426]\ * #\ ##0.00&quot; _-&quot;;\-[$€-426]\ * #\ ##0.00&quot; _-&quot;;&quot;_-&quot;[$€-426]\ * \-??&quot; _-&quot;;_-@_-" sourceLinked="0"/>
        <c:majorTickMark val="none"/>
        <c:minorTickMark val="none"/>
        <c:tickLblPos val="nextTo"/>
        <c:spPr>
          <a:ln w="6480">
            <a:noFill/>
          </a:ln>
        </c:spPr>
        <c:txPr>
          <a:bodyPr/>
          <a:lstStyle/>
          <a:p>
            <a:pPr>
              <a:defRPr b="0" sz="900" strike="noStrike" u="none">
                <a:solidFill>
                  <a:srgbClr val="595959"/>
                </a:solidFill>
                <a:uFillTx/>
                <a:latin typeface="Calibri"/>
              </a:defRPr>
            </a:pPr>
          </a:p>
        </c:txPr>
        <c:crossAx val="28928094"/>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Series1</c:v>
                </c:pt>
              </c:strCache>
            </c:strRef>
          </c:tx>
          <c:spPr>
            <a:solidFill>
              <a:srgbClr val="9e480e"/>
            </a:solidFill>
            <a:ln w="0">
              <a:noFill/>
            </a:ln>
          </c:spPr>
          <c:invertIfNegative val="0"/>
          <c:dLbls>
            <c:numFmt formatCode="_-\€* #\ ##0.00_-;&quot;-€&quot;* #\ ##0.00_-;_-\€* \-??_-;_-@_-"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multiLvlStrRef>
              <c:f>categories</c:f>
              <c:multiLvlStrCache>
                <c:ptCount val="28"/>
                <c:lvl>
                  <c:pt idx="0">
                    <c:v>CBR</c:v>
                  </c:pt>
                  <c:pt idx="1">
                    <c:v>perifērija</c:v>
                  </c:pt>
                  <c:pt idx="2">
                    <c:v>CBR</c:v>
                  </c:pt>
                  <c:pt idx="3">
                    <c:v>perifērija</c:v>
                  </c:pt>
                  <c:pt idx="4">
                    <c:v>CBR</c:v>
                  </c:pt>
                  <c:pt idx="5">
                    <c:v>perifērija</c:v>
                  </c:pt>
                  <c:pt idx="6">
                    <c:v>CBR</c:v>
                  </c:pt>
                  <c:pt idx="7">
                    <c:v>perifērija</c:v>
                  </c:pt>
                  <c:pt idx="8">
                    <c:v>CBR</c:v>
                  </c:pt>
                  <c:pt idx="9">
                    <c:v>perifērija</c:v>
                  </c:pt>
                  <c:pt idx="10">
                    <c:v>CBR</c:v>
                  </c:pt>
                  <c:pt idx="11">
                    <c:v>perifērija</c:v>
                  </c:pt>
                  <c:pt idx="12">
                    <c:v>CBR</c:v>
                  </c:pt>
                  <c:pt idx="13">
                    <c:v>perifērija</c:v>
                  </c:pt>
                  <c:pt idx="14">
                    <c:v>CBR</c:v>
                  </c:pt>
                  <c:pt idx="15">
                    <c:v>perifērija</c:v>
                  </c:pt>
                  <c:pt idx="16">
                    <c:v>CBR</c:v>
                  </c:pt>
                  <c:pt idx="17">
                    <c:v>perifērija</c:v>
                  </c:pt>
                  <c:pt idx="18">
                    <c:v>CBR</c:v>
                  </c:pt>
                  <c:pt idx="19">
                    <c:v>perifērija</c:v>
                  </c:pt>
                  <c:pt idx="20">
                    <c:v>CBR</c:v>
                  </c:pt>
                  <c:pt idx="21">
                    <c:v>perifērija</c:v>
                  </c:pt>
                  <c:pt idx="22">
                    <c:v>CBR</c:v>
                  </c:pt>
                  <c:pt idx="23">
                    <c:v>perifērija</c:v>
                  </c:pt>
                  <c:pt idx="24">
                    <c:v>CBR</c:v>
                  </c:pt>
                  <c:pt idx="25">
                    <c:v>perifērija</c:v>
                  </c:pt>
                  <c:pt idx="26">
                    <c:v>CBR</c:v>
                  </c:pt>
                  <c:pt idx="27">
                    <c:v>perifērija</c:v>
                  </c:pt>
                </c:lvl>
                <c:lvl>
                  <c:pt idx="0">
                    <c:v>1. pusgads</c:v>
                  </c:pt>
                  <c:pt idx="2">
                    <c:v>2. pusgads</c:v>
                  </c:pt>
                  <c:pt idx="4">
                    <c:v>1. pusgads</c:v>
                  </c:pt>
                  <c:pt idx="6">
                    <c:v>2. pusgads</c:v>
                  </c:pt>
                  <c:pt idx="8">
                    <c:v>1. pusgads</c:v>
                  </c:pt>
                  <c:pt idx="10">
                    <c:v>2. pusgads</c:v>
                  </c:pt>
                  <c:pt idx="12">
                    <c:v>1. pusgads</c:v>
                  </c:pt>
                  <c:pt idx="14">
                    <c:v>2. pusgads</c:v>
                  </c:pt>
                  <c:pt idx="16">
                    <c:v>1. pusgads</c:v>
                  </c:pt>
                  <c:pt idx="18">
                    <c:v>2. pusgads</c:v>
                  </c:pt>
                  <c:pt idx="20">
                    <c:v>1. pusgads</c:v>
                  </c:pt>
                  <c:pt idx="22">
                    <c:v>2. pusgads</c:v>
                  </c:pt>
                  <c:pt idx="24">
                    <c:v>1. pusgads</c:v>
                  </c:pt>
                  <c:pt idx="26">
                    <c:v>2. pusgads</c:v>
                  </c:pt>
                </c:lvl>
                <c:lvl>
                  <c:pt idx="0">
                    <c:v>2019</c:v>
                  </c:pt>
                  <c:pt idx="4">
                    <c:v>2020</c:v>
                  </c:pt>
                  <c:pt idx="8">
                    <c:v>2021</c:v>
                  </c:pt>
                  <c:pt idx="12">
                    <c:v>2022</c:v>
                  </c:pt>
                  <c:pt idx="16">
                    <c:v>2023</c:v>
                  </c:pt>
                  <c:pt idx="20">
                    <c:v>2024</c:v>
                  </c:pt>
                  <c:pt idx="24">
                    <c:v>2025</c:v>
                  </c:pt>
                </c:lvl>
              </c:multiLvlStrCache>
            </c:multiLvlStrRef>
          </c:cat>
          <c:val>
            <c:numRef>
              <c:f>0</c:f>
              <c:numCache>
                <c:formatCode>General</c:formatCode>
                <c:ptCount val="28"/>
                <c:pt idx="0">
                  <c:v>6.5</c:v>
                </c:pt>
                <c:pt idx="1">
                  <c:v>5.5</c:v>
                </c:pt>
                <c:pt idx="2">
                  <c:v>6.5</c:v>
                </c:pt>
                <c:pt idx="3">
                  <c:v>5.5</c:v>
                </c:pt>
                <c:pt idx="4">
                  <c:v>6.5</c:v>
                </c:pt>
                <c:pt idx="5">
                  <c:v>5.5</c:v>
                </c:pt>
                <c:pt idx="6">
                  <c:v>6</c:v>
                </c:pt>
                <c:pt idx="7">
                  <c:v>5</c:v>
                </c:pt>
                <c:pt idx="8">
                  <c:v>6</c:v>
                </c:pt>
                <c:pt idx="9">
                  <c:v>5</c:v>
                </c:pt>
                <c:pt idx="10">
                  <c:v>6</c:v>
                </c:pt>
                <c:pt idx="11">
                  <c:v>5</c:v>
                </c:pt>
                <c:pt idx="12">
                  <c:v>6</c:v>
                </c:pt>
                <c:pt idx="13">
                  <c:v>5</c:v>
                </c:pt>
                <c:pt idx="14">
                  <c:v>6</c:v>
                </c:pt>
                <c:pt idx="15">
                  <c:v>5</c:v>
                </c:pt>
                <c:pt idx="16">
                  <c:v>6</c:v>
                </c:pt>
                <c:pt idx="17">
                  <c:v>5</c:v>
                </c:pt>
                <c:pt idx="18">
                  <c:v>6</c:v>
                </c:pt>
                <c:pt idx="19">
                  <c:v>5</c:v>
                </c:pt>
                <c:pt idx="20">
                  <c:v>6</c:v>
                </c:pt>
                <c:pt idx="21">
                  <c:v>5</c:v>
                </c:pt>
                <c:pt idx="22">
                  <c:v>6</c:v>
                </c:pt>
                <c:pt idx="23">
                  <c:v>5</c:v>
                </c:pt>
                <c:pt idx="24">
                  <c:v>6</c:v>
                </c:pt>
                <c:pt idx="25">
                  <c:v>5</c:v>
                </c:pt>
                <c:pt idx="26">
                  <c:v>6</c:v>
                </c:pt>
                <c:pt idx="27">
                  <c:v>5</c:v>
                </c:pt>
              </c:numCache>
            </c:numRef>
          </c:val>
        </c:ser>
        <c:gapWidth val="219"/>
        <c:overlap val="-27"/>
        <c:axId val="6937074"/>
        <c:axId val="89837893"/>
      </c:barChart>
      <c:catAx>
        <c:axId val="693707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Calibri"/>
              </a:defRPr>
            </a:pPr>
          </a:p>
        </c:txPr>
        <c:crossAx val="89837893"/>
        <c:crosses val="autoZero"/>
        <c:auto val="1"/>
        <c:lblAlgn val="ctr"/>
        <c:lblOffset val="100"/>
        <c:noMultiLvlLbl val="0"/>
      </c:catAx>
      <c:valAx>
        <c:axId val="89837893"/>
        <c:scaling>
          <c:orientation val="minMax"/>
        </c:scaling>
        <c:delete val="0"/>
        <c:axPos val="l"/>
        <c:majorGridlines>
          <c:spPr>
            <a:ln w="9360">
              <a:solidFill>
                <a:srgbClr val="d9d9d9"/>
              </a:solidFill>
              <a:round/>
            </a:ln>
          </c:spPr>
        </c:majorGridlines>
        <c:numFmt formatCode="_-\€* #\ ##0.00_-;&quot;-€&quot;* #\ ##0.00_-;_-\€* \-??_-;_-@_-" sourceLinked="0"/>
        <c:majorTickMark val="none"/>
        <c:minorTickMark val="none"/>
        <c:tickLblPos val="nextTo"/>
        <c:spPr>
          <a:ln w="6480">
            <a:noFill/>
          </a:ln>
        </c:spPr>
        <c:txPr>
          <a:bodyPr/>
          <a:lstStyle/>
          <a:p>
            <a:pPr>
              <a:defRPr b="0" sz="900" strike="noStrike" u="none">
                <a:solidFill>
                  <a:srgbClr val="595959"/>
                </a:solidFill>
                <a:uFillTx/>
                <a:latin typeface="Calibri"/>
              </a:defRPr>
            </a:pPr>
          </a:p>
        </c:txPr>
        <c:crossAx val="6937074"/>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lang="en-US" sz="1800" strike="noStrike" u="none">
                <a:solidFill>
                  <a:srgbClr val="404040"/>
                </a:solidFill>
                <a:uFillTx/>
                <a:latin typeface="Calibri"/>
              </a:rPr>
              <a:t>Pieprasījuma struktūra pēc industriālo telpu lieluma, 20</a:t>
            </a:r>
            <a:r>
              <a:rPr b="1" lang="lv-LV" sz="1800" strike="noStrike" u="none">
                <a:solidFill>
                  <a:srgbClr val="404040"/>
                </a:solidFill>
                <a:uFillTx/>
                <a:latin typeface="Calibri"/>
              </a:rPr>
              <a:t>25</a:t>
            </a:r>
            <a:r>
              <a:rPr b="1" lang="en-US" sz="1800" strike="noStrike" u="none">
                <a:solidFill>
                  <a:srgbClr val="404040"/>
                </a:solidFill>
                <a:uFillTx/>
                <a:latin typeface="Calibri"/>
              </a:rPr>
              <a:t>.g</a:t>
            </a:r>
          </a:p>
        </c:rich>
      </c:tx>
      <c:layout>
        <c:manualLayout>
          <c:xMode val="edge"/>
          <c:yMode val="edge"/>
          <c:x val="0.150649815190175"/>
          <c:y val="0.0277423920736023"/>
        </c:manualLayout>
      </c:layout>
      <c:overlay val="0"/>
      <c:spPr>
        <a:noFill/>
        <a:ln w="0">
          <a:noFill/>
        </a:ln>
      </c:spPr>
    </c:title>
    <c:autoTitleDeleted val="0"/>
    <c:plotArea>
      <c:pieChart>
        <c:varyColors val="1"/>
        <c:ser>
          <c:idx val="0"/>
          <c:order val="0"/>
          <c:tx>
            <c:strRef>
              <c:f>label 0</c:f>
              <c:strCache>
                <c:ptCount val="1"/>
                <c:pt idx="0">
                  <c:v>Series1</c:v>
                </c:pt>
              </c:strCache>
            </c:strRef>
          </c:tx>
          <c:spPr>
            <a:solidFill>
              <a:srgbClr val="4472c4"/>
            </a:solidFill>
            <a:ln w="0">
              <a:noFill/>
            </a:ln>
          </c:spPr>
          <c:explosion val="0"/>
          <c:dPt>
            <c:idx val="0"/>
            <c:spPr>
              <a:solidFill>
                <a:srgbClr val="4472c4"/>
              </a:solidFill>
              <a:ln w="0">
                <a:noFill/>
              </a:ln>
            </c:spPr>
          </c:dPt>
          <c:dPt>
            <c:idx val="1"/>
            <c:spPr>
              <a:solidFill>
                <a:srgbClr val="ed7d31"/>
              </a:solidFill>
              <a:ln w="0">
                <a:noFill/>
              </a:ln>
            </c:spPr>
          </c:dPt>
          <c:dPt>
            <c:idx val="2"/>
            <c:spPr>
              <a:solidFill>
                <a:srgbClr val="a5a5a5"/>
              </a:solidFill>
              <a:ln w="0">
                <a:noFill/>
              </a:ln>
            </c:spPr>
          </c:dPt>
          <c:dPt>
            <c:idx val="3"/>
            <c:spPr>
              <a:solidFill>
                <a:srgbClr val="ffc000"/>
              </a:solidFill>
              <a:ln w="0">
                <a:noFill/>
              </a:ln>
            </c:spPr>
          </c:dPt>
          <c:dLbls>
            <c:dLbl>
              <c:idx val="0"/>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dLbl>
              <c:idx val="1"/>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dLbl>
              <c:idx val="2"/>
              <c:layout>
                <c:manualLayout>
                  <c:x val="0.0603327275481664"/>
                  <c:y val="0.0905316774027976"/>
                </c:manualLayout>
              </c:layout>
              <c:spPr>
                <a:solidFill>
                  <a:srgbClr val="595959"/>
                </a:solidFill>
              </c:spPr>
              <c:txPr>
                <a:bodyPr wrap="square"/>
                <a:lstStyle/>
                <a:p>
                  <a:pPr>
                    <a:defRPr b="1" sz="1000" strike="noStrike" u="none">
                      <a:solidFill>
                        <a:srgbClr val="ffffff"/>
                      </a:solidFill>
                      <a:uFillTx/>
                      <a:latin typeface="Calibri"/>
                    </a:defRPr>
                  </a:pPr>
                </a:p>
              </c:txPr>
              <c:dLblPos val="outEnd"/>
              <c:showLegendKey val="0"/>
              <c:showVal val="0"/>
              <c:showCatName val="0"/>
              <c:showSerName val="0"/>
              <c:showPercent val="1"/>
              <c:separator>
</c:separator>
            </c:dLbl>
            <c:dLbl>
              <c:idx val="3"/>
              <c:layout>
                <c:manualLayout>
                  <c:x val="0.0335545616600432"/>
                  <c:y val="0.0990191983283205"/>
                </c:manualLayout>
              </c:layout>
              <c:spPr>
                <a:solidFill>
                  <a:srgbClr val="595959"/>
                </a:solidFill>
              </c:spPr>
              <c:txPr>
                <a:bodyPr wrap="square"/>
                <a:lstStyle/>
                <a:p>
                  <a:pPr>
                    <a:defRPr b="1" sz="1000" strike="noStrike" u="none">
                      <a:solidFill>
                        <a:srgbClr val="ffffff"/>
                      </a:solidFill>
                      <a:uFillTx/>
                      <a:latin typeface="Calibri"/>
                    </a:defRPr>
                  </a:pPr>
                </a:p>
              </c:txPr>
              <c:dLblPos val="outEnd"/>
              <c:showLegendKey val="0"/>
              <c:showVal val="0"/>
              <c:showCatName val="0"/>
              <c:showSerName val="0"/>
              <c:showPercent val="1"/>
              <c:separator>
</c:separator>
            </c:dLbl>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showLeaderLines val="1"/>
            <c:leaderLines>
              <c:spPr>
                <a:ln>
                  <a:solidFill>
                    <a:srgbClr val="808080"/>
                  </a:solidFill>
                </a:ln>
              </c:spPr>
            </c:leaderLines>
          </c:dLbls>
          <c:cat>
            <c:strRef>
              <c:f>categories</c:f>
              <c:strCache>
                <c:ptCount val="4"/>
                <c:pt idx="0">
                  <c:v>&lt;150 m2</c:v>
                </c:pt>
                <c:pt idx="1">
                  <c:v>150-500 m2</c:v>
                </c:pt>
                <c:pt idx="2">
                  <c:v>500-1500 m2</c:v>
                </c:pt>
                <c:pt idx="3">
                  <c:v>&gt;1500 m2</c:v>
                </c:pt>
              </c:strCache>
            </c:strRef>
          </c:cat>
          <c:val>
            <c:numRef>
              <c:f>0</c:f>
              <c:numCache>
                <c:formatCode>General</c:formatCode>
                <c:ptCount val="4"/>
                <c:pt idx="0">
                  <c:v>0.333333333333333</c:v>
                </c:pt>
                <c:pt idx="1">
                  <c:v>0.444444444444444</c:v>
                </c:pt>
                <c:pt idx="2">
                  <c:v>0.111111111111111</c:v>
                </c:pt>
                <c:pt idx="3">
                  <c:v>0.111111111111111</c:v>
                </c:pt>
              </c:numCache>
            </c:numRef>
          </c:val>
        </c:ser>
        <c:firstSliceAng val="0"/>
      </c:pieChart>
      <c:spPr>
        <a:noFill/>
        <a:ln w="0">
          <a:noFill/>
        </a:ln>
      </c:spPr>
    </c:plotArea>
    <c:legend>
      <c:legendPos val="r"/>
      <c:overlay val="0"/>
      <c:spPr>
        <a:solidFill>
          <a:srgbClr val="f2f2f2">
            <a:alpha val="39000"/>
          </a:srgbClr>
        </a:solidFill>
        <a:ln w="0">
          <a:noFill/>
        </a:ln>
      </c:spPr>
      <c:txPr>
        <a:bodyPr/>
        <a:lstStyle/>
        <a:p>
          <a:pPr>
            <a:defRPr b="0" sz="900" strike="noStrike" u="none">
              <a:solidFill>
                <a:srgbClr val="404040"/>
              </a:solidFill>
              <a:uFillTx/>
              <a:latin typeface="Calibri"/>
            </a:defRPr>
          </a:pPr>
        </a:p>
      </c:txPr>
    </c:legend>
    <c:plotVisOnly val="1"/>
    <c:dispBlanksAs val="gap"/>
  </c:chart>
  <c:spPr>
    <a:gradFill>
      <a:gsLst>
        <a:gs pos="0">
          <a:srgbClr val="ffffff"/>
        </a:gs>
        <a:gs pos="39000">
          <a:srgbClr val="ffffff"/>
        </a:gs>
        <a:gs pos="100000">
          <a:srgbClr val="bfbfbf"/>
        </a:gs>
      </a:gsLst>
      <a:path path="circle">
        <a:fillToRect l="50000" t="0" r="50000" b="100000"/>
      </a:path>
    </a:gradFill>
    <a:ln w="9360">
      <a:solidFill>
        <a:srgbClr val="bfbfbf"/>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lang="lv-LV" sz="1600" spc="119" strike="noStrike" u="none">
                <a:solidFill>
                  <a:srgbClr val="595959"/>
                </a:solidFill>
                <a:uFillTx/>
                <a:latin typeface="Calibri"/>
              </a:rPr>
              <a:t>Industriālo telpu platību AIZPILDĪJUMS (%)</a:t>
            </a:r>
          </a:p>
        </c:rich>
      </c:tx>
      <c:layout>
        <c:manualLayout>
          <c:xMode val="edge"/>
          <c:yMode val="edge"/>
          <c:x val="0.133654937570942"/>
          <c:y val="0.0338017930700267"/>
        </c:manualLayout>
      </c:layout>
      <c:overlay val="0"/>
      <c:spPr>
        <a:noFill/>
        <a:ln w="0">
          <a:noFill/>
        </a:ln>
      </c:spPr>
    </c:title>
    <c:autoTitleDeleted val="0"/>
    <c:plotArea>
      <c:barChart>
        <c:barDir val="col"/>
        <c:grouping val="clustered"/>
        <c:varyColors val="0"/>
        <c:ser>
          <c:idx val="0"/>
          <c:order val="0"/>
          <c:tx>
            <c:strRef>
              <c:f>label 0</c:f>
              <c:strCache>
                <c:ptCount val="1"/>
                <c:pt idx="0">
                  <c:v>Jaunas ēkas Rīgā</c:v>
                </c:pt>
              </c:strCache>
            </c:strRef>
          </c:tx>
          <c:spPr>
            <a:solidFill>
              <a:srgbClr val="4472c4"/>
            </a:solidFill>
            <a:ln w="0">
              <a:noFill/>
            </a:ln>
          </c:spPr>
          <c:invertIfNegative val="0"/>
          <c:dLbls>
            <c:numFmt formatCode="0.0%" sourceLinked="0"/>
            <c:txPr>
              <a:bodyPr rot="-5400000" wrap="square"/>
              <a:lstStyle/>
              <a:p>
                <a:pPr>
                  <a:defRPr b="0" sz="800" strike="noStrike" u="none">
                    <a:solidFill>
                      <a:srgbClr val="80808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5"/>
                <c:pt idx="0">
                  <c:v>2021.gada beigas</c:v>
                </c:pt>
                <c:pt idx="1">
                  <c:v>2022.gada beigas</c:v>
                </c:pt>
                <c:pt idx="2">
                  <c:v>2023.gada beigas</c:v>
                </c:pt>
                <c:pt idx="3">
                  <c:v>2024.gada beigas</c:v>
                </c:pt>
                <c:pt idx="4">
                  <c:v>2025.gada beigas</c:v>
                </c:pt>
              </c:strCache>
            </c:strRef>
          </c:cat>
          <c:val>
            <c:numRef>
              <c:f>0</c:f>
              <c:numCache>
                <c:formatCode>General</c:formatCode>
                <c:ptCount val="5"/>
                <c:pt idx="0">
                  <c:v>0.98</c:v>
                </c:pt>
                <c:pt idx="1">
                  <c:v>0.93</c:v>
                </c:pt>
                <c:pt idx="2">
                  <c:v>0.93</c:v>
                </c:pt>
                <c:pt idx="3">
                  <c:v>0.91</c:v>
                </c:pt>
                <c:pt idx="4">
                  <c:v>0.95</c:v>
                </c:pt>
              </c:numCache>
            </c:numRef>
          </c:val>
        </c:ser>
        <c:ser>
          <c:idx val="1"/>
          <c:order val="1"/>
          <c:tx>
            <c:strRef>
              <c:f>label 1</c:f>
              <c:strCache>
                <c:ptCount val="1"/>
                <c:pt idx="0">
                  <c:v>Jaunas ēkas Rīgas apkārtnē</c:v>
                </c:pt>
              </c:strCache>
            </c:strRef>
          </c:tx>
          <c:spPr>
            <a:solidFill>
              <a:srgbClr val="ed7d31"/>
            </a:solidFill>
            <a:ln w="0">
              <a:noFill/>
            </a:ln>
          </c:spPr>
          <c:invertIfNegative val="0"/>
          <c:dLbls>
            <c:numFmt formatCode="0.0%" sourceLinked="0"/>
            <c:txPr>
              <a:bodyPr rot="-5400000" wrap="square"/>
              <a:lstStyle/>
              <a:p>
                <a:pPr>
                  <a:defRPr b="0" sz="800" strike="noStrike" u="none">
                    <a:solidFill>
                      <a:srgbClr val="80808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5"/>
                <c:pt idx="0">
                  <c:v>2021.gada beigas</c:v>
                </c:pt>
                <c:pt idx="1">
                  <c:v>2022.gada beigas</c:v>
                </c:pt>
                <c:pt idx="2">
                  <c:v>2023.gada beigas</c:v>
                </c:pt>
                <c:pt idx="3">
                  <c:v>2024.gada beigas</c:v>
                </c:pt>
                <c:pt idx="4">
                  <c:v>2025.gada beigas</c:v>
                </c:pt>
              </c:strCache>
            </c:strRef>
          </c:cat>
          <c:val>
            <c:numRef>
              <c:f>1</c:f>
              <c:numCache>
                <c:formatCode>General</c:formatCode>
                <c:ptCount val="5"/>
                <c:pt idx="0">
                  <c:v>0.975</c:v>
                </c:pt>
                <c:pt idx="1">
                  <c:v>0.9</c:v>
                </c:pt>
                <c:pt idx="2">
                  <c:v>0.8</c:v>
                </c:pt>
                <c:pt idx="3">
                  <c:v>0.82</c:v>
                </c:pt>
                <c:pt idx="4">
                  <c:v>0.87</c:v>
                </c:pt>
              </c:numCache>
            </c:numRef>
          </c:val>
        </c:ser>
        <c:ser>
          <c:idx val="2"/>
          <c:order val="2"/>
          <c:tx>
            <c:strRef>
              <c:f>label 2</c:f>
              <c:strCache>
                <c:ptCount val="1"/>
                <c:pt idx="0">
                  <c:v>Renovētas ēkas</c:v>
                </c:pt>
              </c:strCache>
            </c:strRef>
          </c:tx>
          <c:spPr>
            <a:solidFill>
              <a:srgbClr val="a5a5a5"/>
            </a:solidFill>
            <a:ln w="0">
              <a:noFill/>
            </a:ln>
          </c:spPr>
          <c:invertIfNegative val="0"/>
          <c:dLbls>
            <c:numFmt formatCode="0.0%" sourceLinked="0"/>
            <c:txPr>
              <a:bodyPr rot="-5400000" wrap="square"/>
              <a:lstStyle/>
              <a:p>
                <a:pPr>
                  <a:defRPr b="0" sz="800" strike="noStrike" u="none">
                    <a:solidFill>
                      <a:srgbClr val="80808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5"/>
                <c:pt idx="0">
                  <c:v>2021.gada beigas</c:v>
                </c:pt>
                <c:pt idx="1">
                  <c:v>2022.gada beigas</c:v>
                </c:pt>
                <c:pt idx="2">
                  <c:v>2023.gada beigas</c:v>
                </c:pt>
                <c:pt idx="3">
                  <c:v>2024.gada beigas</c:v>
                </c:pt>
                <c:pt idx="4">
                  <c:v>2025.gada beigas</c:v>
                </c:pt>
              </c:strCache>
            </c:strRef>
          </c:cat>
          <c:val>
            <c:numRef>
              <c:f>2</c:f>
              <c:numCache>
                <c:formatCode>General</c:formatCode>
                <c:ptCount val="5"/>
                <c:pt idx="0">
                  <c:v>0.91</c:v>
                </c:pt>
                <c:pt idx="1">
                  <c:v>0.85</c:v>
                </c:pt>
                <c:pt idx="2">
                  <c:v>0.8</c:v>
                </c:pt>
                <c:pt idx="3">
                  <c:v>0.77</c:v>
                </c:pt>
                <c:pt idx="4">
                  <c:v>0.8</c:v>
                </c:pt>
              </c:numCache>
            </c:numRef>
          </c:val>
        </c:ser>
        <c:ser>
          <c:idx val="3"/>
          <c:order val="3"/>
          <c:tx>
            <c:strRef>
              <c:f>label 3</c:f>
              <c:strCache>
                <c:ptCount val="1"/>
                <c:pt idx="0">
                  <c:v>Nolietotas, nesiltinātas un neremontētas ēkas, kas neatbilst mūsdienu prasībām</c:v>
                </c:pt>
              </c:strCache>
            </c:strRef>
          </c:tx>
          <c:spPr>
            <a:solidFill>
              <a:srgbClr val="ffc000"/>
            </a:solidFill>
            <a:ln w="0">
              <a:noFill/>
            </a:ln>
          </c:spPr>
          <c:invertIfNegative val="0"/>
          <c:dLbls>
            <c:numFmt formatCode="0.0%" sourceLinked="0"/>
            <c:txPr>
              <a:bodyPr rot="-5400000" wrap="square"/>
              <a:lstStyle/>
              <a:p>
                <a:pPr>
                  <a:defRPr b="0" sz="800" strike="noStrike" u="none">
                    <a:solidFill>
                      <a:srgbClr val="80808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5"/>
                <c:pt idx="0">
                  <c:v>2021.gada beigas</c:v>
                </c:pt>
                <c:pt idx="1">
                  <c:v>2022.gada beigas</c:v>
                </c:pt>
                <c:pt idx="2">
                  <c:v>2023.gada beigas</c:v>
                </c:pt>
                <c:pt idx="3">
                  <c:v>2024.gada beigas</c:v>
                </c:pt>
                <c:pt idx="4">
                  <c:v>2025.gada beigas</c:v>
                </c:pt>
              </c:strCache>
            </c:strRef>
          </c:cat>
          <c:val>
            <c:numRef>
              <c:f>3</c:f>
              <c:numCache>
                <c:formatCode>General</c:formatCode>
                <c:ptCount val="5"/>
                <c:pt idx="0">
                  <c:v>0.55</c:v>
                </c:pt>
                <c:pt idx="1">
                  <c:v>0.55</c:v>
                </c:pt>
                <c:pt idx="2">
                  <c:v>0.55</c:v>
                </c:pt>
                <c:pt idx="3">
                  <c:v>0.45</c:v>
                </c:pt>
                <c:pt idx="4">
                  <c:v>0.45</c:v>
                </c:pt>
              </c:numCache>
            </c:numRef>
          </c:val>
        </c:ser>
        <c:gapWidth val="444"/>
        <c:overlap val="-90"/>
        <c:axId val="63565657"/>
        <c:axId val="95943270"/>
      </c:barChart>
      <c:catAx>
        <c:axId val="63565657"/>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9360">
            <a:solidFill>
              <a:srgbClr val="d9d9d9"/>
            </a:solidFill>
            <a:round/>
          </a:ln>
        </c:spPr>
        <c:txPr>
          <a:bodyPr/>
          <a:lstStyle/>
          <a:p>
            <a:pPr>
              <a:defRPr b="0" sz="800" spc="119" strike="noStrike" u="none">
                <a:solidFill>
                  <a:srgbClr val="595959"/>
                </a:solidFill>
                <a:uFillTx/>
                <a:latin typeface="Calibri"/>
              </a:defRPr>
            </a:pPr>
          </a:p>
        </c:txPr>
        <c:crossAx val="95943270"/>
        <c:crosses val="autoZero"/>
        <c:auto val="1"/>
        <c:lblAlgn val="ctr"/>
        <c:lblOffset val="100"/>
        <c:noMultiLvlLbl val="0"/>
      </c:catAx>
      <c:valAx>
        <c:axId val="95943270"/>
        <c:scaling>
          <c:orientation val="minMax"/>
        </c:scaling>
        <c:delete val="1"/>
        <c:axPos val="l"/>
        <c:numFmt formatCode="0.0%" sourceLinked="1"/>
        <c:majorTickMark val="none"/>
        <c:minorTickMark val="none"/>
        <c:tickLblPos val="nextTo"/>
        <c:spPr>
          <a:ln w="6480">
            <a:solidFill>
              <a:srgbClr val="8b8b8b"/>
            </a:solidFill>
            <a:round/>
          </a:ln>
        </c:spPr>
        <c:txPr>
          <a:bodyPr/>
          <a:lstStyle/>
          <a:p>
            <a:pPr>
              <a:defRPr b="0" sz="1000" strike="noStrike" u="none">
                <a:solidFill>
                  <a:srgbClr val="000000"/>
                </a:solidFill>
                <a:uFillTx/>
                <a:latin typeface="Calibri"/>
              </a:defRPr>
            </a:pPr>
          </a:p>
        </c:txPr>
        <c:crossAx val="63565657"/>
        <c:crossBetween val="between"/>
      </c:valAx>
      <c:spPr>
        <a:noFill/>
        <a:ln w="0">
          <a:noFill/>
        </a:ln>
      </c:spPr>
    </c:plotArea>
    <c:legend>
      <c:legendPos val="t"/>
      <c:overlay val="0"/>
      <c:spPr>
        <a:noFill/>
        <a:ln w="0">
          <a:noFill/>
        </a:ln>
      </c:spPr>
      <c:txPr>
        <a:bodyPr/>
        <a:lstStyle/>
        <a:p>
          <a:pPr>
            <a:defRPr b="0" sz="900" strike="noStrike" u="none">
              <a:solidFill>
                <a:srgbClr val="595959"/>
              </a:solidFill>
              <a:uFillTx/>
              <a:latin typeface="Calibri"/>
            </a:defRPr>
          </a:pPr>
        </a:p>
      </c:txPr>
    </c:legend>
    <c:plotVisOnly val="1"/>
    <c:dispBlanksAs val="gap"/>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0" lang="lv-LV" sz="1400" strike="noStrike" u="none">
                <a:solidFill>
                  <a:srgbClr val="595959"/>
                </a:solidFill>
                <a:uFillTx/>
                <a:latin typeface="Calibri"/>
              </a:rPr>
              <a:t>Tirdzniecības</a:t>
            </a:r>
            <a:r>
              <a:rPr b="0" lang="lv-LV" sz="1400" strike="noStrike" u="none">
                <a:solidFill>
                  <a:srgbClr val="595959"/>
                </a:solidFill>
                <a:uFillTx/>
                <a:latin typeface="Calibri"/>
              </a:rPr>
              <a:t> telpu tipiskās nomas maksas, EUR/m</a:t>
            </a:r>
            <a:r>
              <a:rPr b="0" lang="lv-LV" sz="1400" strike="noStrike" u="none" baseline="30000">
                <a:solidFill>
                  <a:srgbClr val="595959"/>
                </a:solidFill>
                <a:uFillTx/>
                <a:latin typeface="Calibri"/>
              </a:rPr>
              <a:t>2</a:t>
            </a:r>
          </a:p>
        </c:rich>
      </c:tx>
      <c:overlay val="0"/>
      <c:spPr>
        <a:noFill/>
        <a:ln w="0">
          <a:noFill/>
        </a:ln>
      </c:spPr>
    </c:title>
    <c:autoTitleDeleted val="0"/>
    <c:plotArea>
      <c:barChart>
        <c:barDir val="col"/>
        <c:grouping val="clustered"/>
        <c:varyColors val="0"/>
        <c:ser>
          <c:idx val="0"/>
          <c:order val="0"/>
          <c:tx>
            <c:strRef>
              <c:f>label 0</c:f>
              <c:strCache>
                <c:ptCount val="1"/>
                <c:pt idx="0">
                  <c:v>Vecrīga</c:v>
                </c:pt>
              </c:strCache>
            </c:strRef>
          </c:tx>
          <c:spPr>
            <a:solidFill>
              <a:srgbClr val="4472c4"/>
            </a:solidFill>
            <a:ln w="0">
              <a:noFill/>
            </a:ln>
          </c:spPr>
          <c:invertIfNegative val="0"/>
          <c:dLbls>
            <c:numFmt formatCode="&quot;_-&quot;[$€-426]\ * #\ ##0&quot; _-&quot;;\-[$€-426]\ * #\ ##0&quot; _-&quot;;&quot;_-&quot;[$€-426]\ * \-??&quot; _-&quot;;_-@_-"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2018</c:v>
                </c:pt>
                <c:pt idx="1">
                  <c:v>2019</c:v>
                </c:pt>
                <c:pt idx="2">
                  <c:v>2020</c:v>
                </c:pt>
                <c:pt idx="3">
                  <c:v>2021</c:v>
                </c:pt>
                <c:pt idx="4">
                  <c:v>2022</c:v>
                </c:pt>
                <c:pt idx="5">
                  <c:v>2023</c:v>
                </c:pt>
                <c:pt idx="6">
                  <c:v>2024</c:v>
                </c:pt>
                <c:pt idx="7">
                  <c:v>2025</c:v>
                </c:pt>
              </c:strCache>
            </c:strRef>
          </c:cat>
          <c:val>
            <c:numRef>
              <c:f>0</c:f>
              <c:numCache>
                <c:formatCode>General</c:formatCode>
                <c:ptCount val="8"/>
                <c:pt idx="0">
                  <c:v>26</c:v>
                </c:pt>
                <c:pt idx="1">
                  <c:v>24</c:v>
                </c:pt>
                <c:pt idx="2">
                  <c:v>20</c:v>
                </c:pt>
                <c:pt idx="3">
                  <c:v>15</c:v>
                </c:pt>
                <c:pt idx="4">
                  <c:v>15</c:v>
                </c:pt>
                <c:pt idx="5">
                  <c:v>15</c:v>
                </c:pt>
                <c:pt idx="6">
                  <c:v>16</c:v>
                </c:pt>
                <c:pt idx="7">
                  <c:v>16</c:v>
                </c:pt>
              </c:numCache>
            </c:numRef>
          </c:val>
        </c:ser>
        <c:ser>
          <c:idx val="1"/>
          <c:order val="1"/>
          <c:tx>
            <c:strRef>
              <c:f>label 1</c:f>
              <c:strCache>
                <c:ptCount val="1"/>
                <c:pt idx="0">
                  <c:v>Rīgas centra ielu tirdzniecības telpas</c:v>
                </c:pt>
              </c:strCache>
            </c:strRef>
          </c:tx>
          <c:spPr>
            <a:solidFill>
              <a:srgbClr val="ed7d31"/>
            </a:solidFill>
            <a:ln w="0">
              <a:noFill/>
            </a:ln>
          </c:spPr>
          <c:invertIfNegative val="0"/>
          <c:dLbls>
            <c:numFmt formatCode="&quot;_-&quot;[$€-426]\ * #\ ##0&quot; _-&quot;;\-[$€-426]\ * #\ ##0&quot; _-&quot;;&quot;_-&quot;[$€-426]\ * \-??&quot; _-&quot;;_-@_-"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2018</c:v>
                </c:pt>
                <c:pt idx="1">
                  <c:v>2019</c:v>
                </c:pt>
                <c:pt idx="2">
                  <c:v>2020</c:v>
                </c:pt>
                <c:pt idx="3">
                  <c:v>2021</c:v>
                </c:pt>
                <c:pt idx="4">
                  <c:v>2022</c:v>
                </c:pt>
                <c:pt idx="5">
                  <c:v>2023</c:v>
                </c:pt>
                <c:pt idx="6">
                  <c:v>2024</c:v>
                </c:pt>
                <c:pt idx="7">
                  <c:v>2025</c:v>
                </c:pt>
              </c:strCache>
            </c:strRef>
          </c:cat>
          <c:val>
            <c:numRef>
              <c:f>1</c:f>
              <c:numCache>
                <c:formatCode>General</c:formatCode>
                <c:ptCount val="8"/>
                <c:pt idx="0">
                  <c:v>17</c:v>
                </c:pt>
                <c:pt idx="1">
                  <c:v>17</c:v>
                </c:pt>
                <c:pt idx="2">
                  <c:v>13</c:v>
                </c:pt>
                <c:pt idx="3">
                  <c:v>10</c:v>
                </c:pt>
                <c:pt idx="4">
                  <c:v>9</c:v>
                </c:pt>
                <c:pt idx="5">
                  <c:v>9</c:v>
                </c:pt>
                <c:pt idx="6">
                  <c:v>10</c:v>
                </c:pt>
                <c:pt idx="7">
                  <c:v>10</c:v>
                </c:pt>
              </c:numCache>
            </c:numRef>
          </c:val>
        </c:ser>
        <c:ser>
          <c:idx val="2"/>
          <c:order val="2"/>
          <c:tx>
            <c:strRef>
              <c:f>label 2</c:f>
              <c:strCache>
                <c:ptCount val="1"/>
                <c:pt idx="0">
                  <c:v>Tirdzniecības telpas Rīgas mikrorajonos</c:v>
                </c:pt>
              </c:strCache>
            </c:strRef>
          </c:tx>
          <c:spPr>
            <a:solidFill>
              <a:srgbClr val="ffc000"/>
            </a:solidFill>
            <a:ln w="0">
              <a:noFill/>
            </a:ln>
          </c:spPr>
          <c:invertIfNegative val="0"/>
          <c:dLbls>
            <c:numFmt formatCode="&quot;_-&quot;[$€-426]\ * #\ ##0&quot; _-&quot;;\-[$€-426]\ * #\ ##0&quot; _-&quot;;&quot;_-&quot;[$€-426]\ * \-??&quot; _-&quot;;_-@_-"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2018</c:v>
                </c:pt>
                <c:pt idx="1">
                  <c:v>2019</c:v>
                </c:pt>
                <c:pt idx="2">
                  <c:v>2020</c:v>
                </c:pt>
                <c:pt idx="3">
                  <c:v>2021</c:v>
                </c:pt>
                <c:pt idx="4">
                  <c:v>2022</c:v>
                </c:pt>
                <c:pt idx="5">
                  <c:v>2023</c:v>
                </c:pt>
                <c:pt idx="6">
                  <c:v>2024</c:v>
                </c:pt>
                <c:pt idx="7">
                  <c:v>2025</c:v>
                </c:pt>
              </c:strCache>
            </c:strRef>
          </c:cat>
          <c:val>
            <c:numRef>
              <c:f>2</c:f>
              <c:numCache>
                <c:formatCode>General</c:formatCode>
                <c:ptCount val="8"/>
                <c:pt idx="0">
                  <c:v>12</c:v>
                </c:pt>
                <c:pt idx="1">
                  <c:v>8</c:v>
                </c:pt>
                <c:pt idx="2">
                  <c:v>6</c:v>
                </c:pt>
                <c:pt idx="3">
                  <c:v>6</c:v>
                </c:pt>
                <c:pt idx="4">
                  <c:v>5</c:v>
                </c:pt>
                <c:pt idx="5">
                  <c:v>6</c:v>
                </c:pt>
                <c:pt idx="6">
                  <c:v>7</c:v>
                </c:pt>
                <c:pt idx="7">
                  <c:v>7</c:v>
                </c:pt>
              </c:numCache>
            </c:numRef>
          </c:val>
        </c:ser>
        <c:gapWidth val="219"/>
        <c:overlap val="-27"/>
        <c:axId val="78761044"/>
        <c:axId val="83682770"/>
      </c:barChart>
      <c:catAx>
        <c:axId val="7876104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Calibri"/>
              </a:defRPr>
            </a:pPr>
          </a:p>
        </c:txPr>
        <c:crossAx val="83682770"/>
        <c:crosses val="autoZero"/>
        <c:auto val="1"/>
        <c:lblAlgn val="ctr"/>
        <c:lblOffset val="100"/>
        <c:noMultiLvlLbl val="0"/>
      </c:catAx>
      <c:valAx>
        <c:axId val="83682770"/>
        <c:scaling>
          <c:orientation val="minMax"/>
        </c:scaling>
        <c:delete val="0"/>
        <c:axPos val="l"/>
        <c:majorGridlines>
          <c:spPr>
            <a:ln w="9360">
              <a:solidFill>
                <a:srgbClr val="d9d9d9"/>
              </a:solidFill>
              <a:round/>
            </a:ln>
          </c:spPr>
        </c:majorGridlines>
        <c:numFmt formatCode="&quot;_-&quot;[$€-426]\ * #\ ##0&quot; _-&quot;;\-[$€-426]\ * #\ ##0&quot; _-&quot;;&quot;_-&quot;[$€-426]\ * \-??&quot; _-&quot;;_-@_-" sourceLinked="0"/>
        <c:majorTickMark val="none"/>
        <c:minorTickMark val="none"/>
        <c:tickLblPos val="nextTo"/>
        <c:spPr>
          <a:ln w="6480">
            <a:noFill/>
          </a:ln>
        </c:spPr>
        <c:txPr>
          <a:bodyPr/>
          <a:lstStyle/>
          <a:p>
            <a:pPr>
              <a:defRPr b="0" sz="900" strike="noStrike" u="none">
                <a:solidFill>
                  <a:srgbClr val="595959"/>
                </a:solidFill>
                <a:uFillTx/>
                <a:latin typeface="Calibri"/>
              </a:defRPr>
            </a:pPr>
          </a:p>
        </c:txPr>
        <c:crossAx val="78761044"/>
        <c:crosses val="autoZero"/>
        <c:crossBetween val="between"/>
      </c:valAx>
      <c:spPr>
        <a:noFill/>
        <a:ln w="0">
          <a:noFill/>
        </a:ln>
      </c:spPr>
    </c:plotArea>
    <c:legend>
      <c:legendPos val="b"/>
      <c:overlay val="0"/>
      <c:spPr>
        <a:noFill/>
        <a:ln w="0">
          <a:noFill/>
        </a:ln>
      </c:spPr>
      <c:txPr>
        <a:bodyPr/>
        <a:lstStyle/>
        <a:p>
          <a:pPr>
            <a:defRPr b="0" sz="900" strike="noStrike" u="none">
              <a:solidFill>
                <a:srgbClr val="595959"/>
              </a:solidFill>
              <a:uFillTx/>
              <a:latin typeface="Calibri"/>
            </a:defRPr>
          </a:pPr>
        </a:p>
      </c:tx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6370</TotalTime>
  <Application>LibreOffice/24.8.6.2$Linux_X86_64 LibreOffice_project/480$Build-2</Application>
  <AppVersion>15.0000</AppVersion>
  <Pages>10</Pages>
  <Words>3052</Words>
  <Characters>19823</Characters>
  <CharactersWithSpaces>22776</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2026-02-25T08:11:00Z</dcterms:created>
  <dc:creator>Ģirts Jansons</dc:creator>
  <dc:description/>
  <dc:language>en-US</dc:language>
  <cp:lastModifiedBy/>
  <dcterms:modified xsi:type="dcterms:W3CDTF">2026-04-27T12:43:22Z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